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4405" w14:textId="77777777" w:rsidR="00AE221A" w:rsidRPr="009D57AD" w:rsidRDefault="00AE221A" w:rsidP="00AE221A">
      <w:pPr>
        <w:tabs>
          <w:tab w:val="left" w:pos="6237"/>
          <w:tab w:val="right" w:pos="8306"/>
        </w:tabs>
        <w:overflowPunct w:val="0"/>
        <w:contextualSpacing/>
        <w:textAlignment w:val="baseline"/>
        <w:rPr>
          <w:color w:val="000000" w:themeColor="text1"/>
          <w:szCs w:val="24"/>
        </w:rPr>
      </w:pPr>
      <w:bookmarkStart w:id="0" w:name="_GoBack"/>
      <w:bookmarkEnd w:id="0"/>
    </w:p>
    <w:p w14:paraId="0F2F6D34" w14:textId="77777777" w:rsidR="00AE221A" w:rsidRPr="009D57AD" w:rsidRDefault="00AE221A" w:rsidP="00AE221A">
      <w:pPr>
        <w:overflowPunct w:val="0"/>
        <w:contextualSpacing/>
        <w:jc w:val="center"/>
        <w:textAlignment w:val="baseline"/>
        <w:rPr>
          <w:b/>
          <w:color w:val="000000" w:themeColor="text1"/>
          <w:szCs w:val="24"/>
          <w:lang w:eastAsia="lt-LT"/>
        </w:rPr>
      </w:pPr>
      <w:r w:rsidRPr="009D57AD">
        <w:rPr>
          <w:b/>
          <w:color w:val="000000" w:themeColor="text1"/>
          <w:szCs w:val="24"/>
          <w:lang w:eastAsia="lt-LT"/>
        </w:rPr>
        <w:t>RADVILIŠKIO R. POCIŪNĖLIŲ PAGRINDINĖ MOKYKLA</w:t>
      </w:r>
    </w:p>
    <w:p w14:paraId="297D2142" w14:textId="77777777" w:rsidR="00AE221A" w:rsidRPr="009D57AD" w:rsidRDefault="00AE221A" w:rsidP="00AE221A">
      <w:pPr>
        <w:tabs>
          <w:tab w:val="left" w:pos="14656"/>
        </w:tabs>
        <w:overflowPunct w:val="0"/>
        <w:contextualSpacing/>
        <w:jc w:val="center"/>
        <w:textAlignment w:val="baseline"/>
        <w:rPr>
          <w:color w:val="000000" w:themeColor="text1"/>
          <w:szCs w:val="24"/>
          <w:lang w:eastAsia="lt-LT"/>
        </w:rPr>
      </w:pPr>
      <w:r w:rsidRPr="009D57AD">
        <w:rPr>
          <w:color w:val="000000" w:themeColor="text1"/>
          <w:szCs w:val="24"/>
          <w:lang w:eastAsia="lt-LT"/>
        </w:rPr>
        <w:t>_________________________________________________________________</w:t>
      </w:r>
    </w:p>
    <w:p w14:paraId="4071B1C0" w14:textId="77777777" w:rsidR="00AE221A" w:rsidRPr="009D57AD" w:rsidRDefault="00AE221A" w:rsidP="00AE221A">
      <w:pPr>
        <w:tabs>
          <w:tab w:val="left" w:pos="14656"/>
        </w:tabs>
        <w:overflowPunct w:val="0"/>
        <w:contextualSpacing/>
        <w:jc w:val="center"/>
        <w:textAlignment w:val="baseline"/>
        <w:rPr>
          <w:color w:val="000000" w:themeColor="text1"/>
          <w:sz w:val="20"/>
          <w:lang w:eastAsia="lt-LT"/>
        </w:rPr>
      </w:pPr>
      <w:r w:rsidRPr="009D57AD">
        <w:rPr>
          <w:color w:val="000000" w:themeColor="text1"/>
          <w:sz w:val="20"/>
          <w:lang w:eastAsia="lt-LT"/>
        </w:rPr>
        <w:t>(švietimo įstaigos pavadinimas)</w:t>
      </w:r>
    </w:p>
    <w:p w14:paraId="64BCE53E" w14:textId="77777777" w:rsidR="00AE221A" w:rsidRPr="009D57AD" w:rsidRDefault="00AE221A" w:rsidP="00AE221A">
      <w:pPr>
        <w:tabs>
          <w:tab w:val="left" w:pos="14656"/>
        </w:tabs>
        <w:overflowPunct w:val="0"/>
        <w:contextualSpacing/>
        <w:jc w:val="center"/>
        <w:textAlignment w:val="baseline"/>
        <w:rPr>
          <w:color w:val="000000" w:themeColor="text1"/>
          <w:sz w:val="20"/>
          <w:lang w:eastAsia="lt-LT"/>
        </w:rPr>
      </w:pPr>
    </w:p>
    <w:p w14:paraId="3DB37B34" w14:textId="77777777" w:rsidR="00AE221A" w:rsidRDefault="00AE221A" w:rsidP="00AE221A">
      <w:pPr>
        <w:overflowPunct w:val="0"/>
        <w:contextualSpacing/>
        <w:jc w:val="center"/>
        <w:textAlignment w:val="baseline"/>
        <w:rPr>
          <w:b/>
          <w:color w:val="000000" w:themeColor="text1"/>
          <w:szCs w:val="24"/>
          <w:lang w:eastAsia="lt-LT"/>
        </w:rPr>
      </w:pPr>
      <w:r>
        <w:rPr>
          <w:b/>
          <w:color w:val="000000" w:themeColor="text1"/>
          <w:szCs w:val="24"/>
          <w:lang w:eastAsia="lt-LT"/>
        </w:rPr>
        <w:t>ZIGMAS KAČINAUSKAS</w:t>
      </w:r>
    </w:p>
    <w:p w14:paraId="298A4126" w14:textId="77777777" w:rsidR="00AE221A" w:rsidRPr="009D57AD" w:rsidRDefault="00AE221A" w:rsidP="00AE221A">
      <w:pPr>
        <w:overflowPunct w:val="0"/>
        <w:contextualSpacing/>
        <w:jc w:val="center"/>
        <w:textAlignment w:val="baseline"/>
        <w:rPr>
          <w:color w:val="000000" w:themeColor="text1"/>
          <w:sz w:val="20"/>
          <w:lang w:eastAsia="lt-LT"/>
        </w:rPr>
      </w:pPr>
      <w:r w:rsidRPr="009D57AD">
        <w:rPr>
          <w:color w:val="000000" w:themeColor="text1"/>
          <w:sz w:val="20"/>
          <w:lang w:eastAsia="lt-LT"/>
        </w:rPr>
        <w:t xml:space="preserve"> (švietimo įstaigos vadovo vardas ir pavardė)</w:t>
      </w:r>
    </w:p>
    <w:p w14:paraId="37F21EAE" w14:textId="77777777" w:rsidR="00AE221A" w:rsidRPr="009D57AD" w:rsidRDefault="00AE221A" w:rsidP="00AE221A">
      <w:pPr>
        <w:overflowPunct w:val="0"/>
        <w:contextualSpacing/>
        <w:jc w:val="center"/>
        <w:textAlignment w:val="baseline"/>
        <w:rPr>
          <w:b/>
          <w:color w:val="000000" w:themeColor="text1"/>
          <w:szCs w:val="24"/>
          <w:lang w:eastAsia="lt-LT"/>
        </w:rPr>
      </w:pPr>
      <w:r w:rsidRPr="009D57AD">
        <w:rPr>
          <w:b/>
          <w:color w:val="000000" w:themeColor="text1"/>
          <w:szCs w:val="24"/>
          <w:lang w:eastAsia="lt-LT"/>
        </w:rPr>
        <w:t>METŲ VEIKLOS ATASKAITA</w:t>
      </w:r>
    </w:p>
    <w:p w14:paraId="5E8FC4D0" w14:textId="77777777" w:rsidR="00AE221A" w:rsidRPr="009D57AD" w:rsidRDefault="00AE221A" w:rsidP="00AE221A">
      <w:pPr>
        <w:overflowPunct w:val="0"/>
        <w:contextualSpacing/>
        <w:jc w:val="center"/>
        <w:textAlignment w:val="baseline"/>
        <w:rPr>
          <w:color w:val="000000" w:themeColor="text1"/>
          <w:szCs w:val="24"/>
          <w:lang w:eastAsia="lt-LT"/>
        </w:rPr>
      </w:pPr>
    </w:p>
    <w:p w14:paraId="4C7E43F7" w14:textId="77777777" w:rsidR="00AE221A" w:rsidRPr="009D57AD" w:rsidRDefault="00AE221A" w:rsidP="00AE221A">
      <w:pPr>
        <w:overflowPunct w:val="0"/>
        <w:contextualSpacing/>
        <w:jc w:val="center"/>
        <w:textAlignment w:val="baseline"/>
        <w:rPr>
          <w:color w:val="000000" w:themeColor="text1"/>
          <w:szCs w:val="24"/>
          <w:lang w:eastAsia="lt-LT"/>
        </w:rPr>
      </w:pPr>
      <w:r w:rsidRPr="009D57AD">
        <w:rPr>
          <w:color w:val="000000" w:themeColor="text1"/>
          <w:szCs w:val="24"/>
          <w:lang w:eastAsia="lt-LT"/>
        </w:rPr>
        <w:t>____</w:t>
      </w:r>
      <w:r w:rsidR="00785EDD">
        <w:rPr>
          <w:color w:val="000000" w:themeColor="text1"/>
          <w:szCs w:val="24"/>
          <w:u w:val="single"/>
          <w:lang w:eastAsia="lt-LT"/>
        </w:rPr>
        <w:t>2024</w:t>
      </w:r>
      <w:r w:rsidRPr="009D57AD">
        <w:rPr>
          <w:color w:val="000000" w:themeColor="text1"/>
          <w:szCs w:val="24"/>
          <w:u w:val="single"/>
          <w:lang w:eastAsia="lt-LT"/>
        </w:rPr>
        <w:t>_- 01-</w:t>
      </w:r>
      <w:r>
        <w:rPr>
          <w:color w:val="000000" w:themeColor="text1"/>
          <w:szCs w:val="24"/>
          <w:u w:val="single"/>
          <w:lang w:eastAsia="lt-LT"/>
        </w:rPr>
        <w:t xml:space="preserve">20 </w:t>
      </w:r>
      <w:r w:rsidRPr="009D57AD">
        <w:rPr>
          <w:color w:val="000000" w:themeColor="text1"/>
          <w:szCs w:val="24"/>
          <w:lang w:eastAsia="lt-LT"/>
        </w:rPr>
        <w:t xml:space="preserve"> Nr. __</w:t>
      </w:r>
      <w:r>
        <w:rPr>
          <w:color w:val="000000" w:themeColor="text1"/>
          <w:szCs w:val="24"/>
          <w:lang w:eastAsia="lt-LT"/>
        </w:rPr>
        <w:t>1</w:t>
      </w:r>
      <w:r w:rsidRPr="009D57AD">
        <w:rPr>
          <w:color w:val="000000" w:themeColor="text1"/>
          <w:szCs w:val="24"/>
          <w:lang w:eastAsia="lt-LT"/>
        </w:rPr>
        <w:t xml:space="preserve">______ </w:t>
      </w:r>
    </w:p>
    <w:p w14:paraId="230243DB" w14:textId="77777777" w:rsidR="00AE221A" w:rsidRPr="009D57AD" w:rsidRDefault="00AE221A" w:rsidP="00AE221A">
      <w:pPr>
        <w:overflowPunct w:val="0"/>
        <w:contextualSpacing/>
        <w:jc w:val="center"/>
        <w:textAlignment w:val="baseline"/>
        <w:rPr>
          <w:color w:val="000000" w:themeColor="text1"/>
          <w:sz w:val="20"/>
          <w:lang w:eastAsia="lt-LT"/>
        </w:rPr>
      </w:pPr>
      <w:r w:rsidRPr="009D57AD">
        <w:rPr>
          <w:color w:val="000000" w:themeColor="text1"/>
          <w:sz w:val="20"/>
          <w:lang w:eastAsia="lt-LT"/>
        </w:rPr>
        <w:t>(data)</w:t>
      </w:r>
    </w:p>
    <w:p w14:paraId="28F1FC55" w14:textId="77777777" w:rsidR="00AE221A" w:rsidRPr="009D57AD" w:rsidRDefault="00AE221A" w:rsidP="00AE221A">
      <w:pPr>
        <w:tabs>
          <w:tab w:val="left" w:pos="3828"/>
        </w:tabs>
        <w:overflowPunct w:val="0"/>
        <w:contextualSpacing/>
        <w:jc w:val="center"/>
        <w:textAlignment w:val="baseline"/>
        <w:rPr>
          <w:color w:val="000000" w:themeColor="text1"/>
          <w:szCs w:val="24"/>
          <w:lang w:eastAsia="lt-LT"/>
        </w:rPr>
      </w:pPr>
      <w:r w:rsidRPr="009D57AD">
        <w:rPr>
          <w:color w:val="000000" w:themeColor="text1"/>
          <w:szCs w:val="24"/>
          <w:lang w:eastAsia="lt-LT"/>
        </w:rPr>
        <w:t>_____</w:t>
      </w:r>
      <w:r w:rsidRPr="009D57AD">
        <w:rPr>
          <w:color w:val="000000" w:themeColor="text1"/>
          <w:szCs w:val="24"/>
          <w:u w:val="single"/>
          <w:lang w:eastAsia="lt-LT"/>
        </w:rPr>
        <w:t>Pociūnėliai</w:t>
      </w:r>
      <w:r w:rsidRPr="009D57AD">
        <w:rPr>
          <w:color w:val="000000" w:themeColor="text1"/>
          <w:szCs w:val="24"/>
          <w:lang w:eastAsia="lt-LT"/>
        </w:rPr>
        <w:t>____</w:t>
      </w:r>
    </w:p>
    <w:p w14:paraId="6669FF33" w14:textId="77777777" w:rsidR="00AE221A" w:rsidRPr="009D57AD" w:rsidRDefault="00AE221A" w:rsidP="00AE221A">
      <w:pPr>
        <w:tabs>
          <w:tab w:val="left" w:pos="3828"/>
        </w:tabs>
        <w:overflowPunct w:val="0"/>
        <w:contextualSpacing/>
        <w:jc w:val="center"/>
        <w:textAlignment w:val="baseline"/>
        <w:rPr>
          <w:color w:val="000000" w:themeColor="text1"/>
          <w:sz w:val="20"/>
          <w:lang w:eastAsia="lt-LT"/>
        </w:rPr>
      </w:pPr>
      <w:r w:rsidRPr="009D57AD">
        <w:rPr>
          <w:color w:val="000000" w:themeColor="text1"/>
          <w:sz w:val="20"/>
          <w:lang w:eastAsia="lt-LT"/>
        </w:rPr>
        <w:t>(sudarymo vieta)</w:t>
      </w:r>
    </w:p>
    <w:p w14:paraId="0B703BD2" w14:textId="77777777" w:rsidR="00AE221A" w:rsidRPr="009D57AD" w:rsidRDefault="00AE221A" w:rsidP="00AE221A">
      <w:pPr>
        <w:overflowPunct w:val="0"/>
        <w:contextualSpacing/>
        <w:jc w:val="center"/>
        <w:textAlignment w:val="baseline"/>
        <w:rPr>
          <w:color w:val="000000" w:themeColor="text1"/>
          <w:sz w:val="20"/>
          <w:lang w:eastAsia="lt-LT"/>
        </w:rPr>
      </w:pPr>
    </w:p>
    <w:p w14:paraId="6BB3972A" w14:textId="77777777" w:rsidR="0096687B" w:rsidRDefault="0096687B"/>
    <w:tbl>
      <w:tblPr>
        <w:tblStyle w:val="Lentelstinklelis"/>
        <w:tblW w:w="0" w:type="auto"/>
        <w:tblLook w:val="04A0" w:firstRow="1" w:lastRow="0" w:firstColumn="1" w:lastColumn="0" w:noHBand="0" w:noVBand="1"/>
      </w:tblPr>
      <w:tblGrid>
        <w:gridCol w:w="9854"/>
      </w:tblGrid>
      <w:tr w:rsidR="00AE221A" w14:paraId="03301872" w14:textId="77777777" w:rsidTr="00AE221A">
        <w:tc>
          <w:tcPr>
            <w:tcW w:w="9854" w:type="dxa"/>
          </w:tcPr>
          <w:p w14:paraId="3EDA9DD9" w14:textId="77777777" w:rsidR="00E82413" w:rsidRDefault="00AE221A" w:rsidP="00214330">
            <w:pPr>
              <w:contextualSpacing/>
            </w:pPr>
            <w:r>
              <w:t>Vadovaujantis mokyklos 2021-2023</w:t>
            </w:r>
            <w:r w:rsidRPr="0032442D">
              <w:t xml:space="preserve"> m. str</w:t>
            </w:r>
            <w:r w:rsidRPr="009D57AD">
              <w:t>ateginiu planu</w:t>
            </w:r>
            <w:r>
              <w:t xml:space="preserve">, pritartu Radviliškio </w:t>
            </w:r>
            <w:r w:rsidR="005060FD">
              <w:t xml:space="preserve">rajono </w:t>
            </w:r>
            <w:r>
              <w:t>savivaldybės direktoriaus 202</w:t>
            </w:r>
            <w:r w:rsidR="005060FD">
              <w:t xml:space="preserve">1 </w:t>
            </w:r>
            <w:r>
              <w:t>m. vasario 12 d. įsakymu Nr. A-138 (8.14), patvirtintu mokyklos direktoriaus 2021 m. vasario 12 d. įsakymu Nr. VI-14 (1.3), mokyklos vidaus įsivertinimo rodikliais, PUPP</w:t>
            </w:r>
            <w:r w:rsidRPr="009D57AD">
              <w:t>,</w:t>
            </w:r>
            <w:r>
              <w:t xml:space="preserve"> NMPP rezultatų  analize, buvo</w:t>
            </w:r>
            <w:r w:rsidR="00214330">
              <w:t xml:space="preserve"> patvirtintas </w:t>
            </w:r>
            <w:r w:rsidR="00C600AE">
              <w:t xml:space="preserve">2023-2024 m. m.  </w:t>
            </w:r>
            <w:r w:rsidR="00214330">
              <w:t xml:space="preserve">ugdymo planas </w:t>
            </w:r>
            <w:r w:rsidR="00C600AE">
              <w:t xml:space="preserve">2023 m. rugpjūčio 31 d. </w:t>
            </w:r>
            <w:r w:rsidR="00214330">
              <w:t>direktoriaus įsakymu Nr.</w:t>
            </w:r>
            <w:r w:rsidR="00C600AE">
              <w:t xml:space="preserve"> </w:t>
            </w:r>
            <w:r w:rsidR="00214330">
              <w:t>32</w:t>
            </w:r>
            <w:r>
              <w:t xml:space="preserve"> (1.3),</w:t>
            </w:r>
            <w:r w:rsidRPr="009D57AD">
              <w:t xml:space="preserve"> </w:t>
            </w:r>
            <w:r>
              <w:rPr>
                <w:iCs/>
                <w:szCs w:val="24"/>
              </w:rPr>
              <w:t>parengtas</w:t>
            </w:r>
            <w:r w:rsidRPr="009D57AD">
              <w:rPr>
                <w:iCs/>
                <w:szCs w:val="24"/>
              </w:rPr>
              <w:t xml:space="preserve"> </w:t>
            </w:r>
            <w:r>
              <w:rPr>
                <w:iCs/>
                <w:szCs w:val="24"/>
              </w:rPr>
              <w:t>su darbo grupe</w:t>
            </w:r>
            <w:r w:rsidR="00214330">
              <w:t xml:space="preserve"> 2023</w:t>
            </w:r>
            <w:r>
              <w:t xml:space="preserve"> metams mokyklos metinis veiklos planas, patvirt</w:t>
            </w:r>
            <w:r w:rsidR="00214330">
              <w:t>intas mokyklos direktoriaus 2022 m. gruodžio 30 d. įsakymu Nr. VI-128</w:t>
            </w:r>
            <w:r>
              <w:t xml:space="preserve"> (1.3), priežiūros planas</w:t>
            </w:r>
            <w:r w:rsidR="00214330">
              <w:t xml:space="preserve">, patvirtintas direktoriaus 2022 m. gruodžio 5 d. įsakymu </w:t>
            </w:r>
            <w:proofErr w:type="spellStart"/>
            <w:r w:rsidR="00214330">
              <w:t>Nr.VI-</w:t>
            </w:r>
            <w:proofErr w:type="spellEnd"/>
            <w:r w:rsidR="00214330">
              <w:t xml:space="preserve"> 121</w:t>
            </w:r>
            <w:r>
              <w:t xml:space="preserve"> (1.3). Veiklos plane </w:t>
            </w:r>
            <w:r w:rsidR="00214330">
              <w:t>2023</w:t>
            </w:r>
            <w:r w:rsidRPr="0076346A">
              <w:t xml:space="preserve"> metais įgyvendinome šiuos tikslus ir uždavinius:</w:t>
            </w:r>
            <w:r w:rsidR="00214330">
              <w:t xml:space="preserve"> </w:t>
            </w:r>
          </w:p>
          <w:p w14:paraId="19F2F9D9" w14:textId="77777777" w:rsidR="00E82413" w:rsidRDefault="00E82413" w:rsidP="00214330">
            <w:pPr>
              <w:contextualSpacing/>
            </w:pPr>
          </w:p>
          <w:p w14:paraId="63BB2915" w14:textId="63E66D10" w:rsidR="00214330" w:rsidRDefault="00214330" w:rsidP="00214330">
            <w:pPr>
              <w:contextualSpacing/>
            </w:pPr>
            <w:r>
              <w:t xml:space="preserve"> </w:t>
            </w:r>
          </w:p>
          <w:p w14:paraId="1E23EA2A" w14:textId="24961D04" w:rsidR="00214330" w:rsidRDefault="00214330" w:rsidP="00214330">
            <w:pPr>
              <w:contextualSpacing/>
            </w:pPr>
            <w:r>
              <w:t>I. Tikslas.</w:t>
            </w:r>
            <w:r w:rsidR="00C600AE">
              <w:t xml:space="preserve">  </w:t>
            </w:r>
          </w:p>
          <w:p w14:paraId="62DB176F" w14:textId="77777777" w:rsidR="00214330" w:rsidRDefault="00214330" w:rsidP="00214330">
            <w:pPr>
              <w:contextualSpacing/>
            </w:pPr>
            <w:r>
              <w:t xml:space="preserve">Skatinant bendradarbiavimą ir lyderystę siekti mokinių </w:t>
            </w:r>
            <w:proofErr w:type="spellStart"/>
            <w:r>
              <w:t>ugdymo(si</w:t>
            </w:r>
            <w:proofErr w:type="spellEnd"/>
            <w:r>
              <w:t>) pažangos, atsižvelgiant į individualius mokinių poreikius.</w:t>
            </w:r>
          </w:p>
          <w:p w14:paraId="0A1EF6C9" w14:textId="77777777" w:rsidR="00214330" w:rsidRDefault="00214330" w:rsidP="00214330">
            <w:pPr>
              <w:contextualSpacing/>
            </w:pPr>
            <w:r>
              <w:t>Uždaviniai:</w:t>
            </w:r>
          </w:p>
          <w:p w14:paraId="60EE415A" w14:textId="77777777" w:rsidR="00214330" w:rsidRDefault="00214330" w:rsidP="00214330">
            <w:pPr>
              <w:contextualSpacing/>
            </w:pPr>
            <w:r>
              <w:t>1. Sudaryti daugiau galimybių kiekvienam mokiniui patirti mokymosi sėkmę stiprinant mokymo diferencijavimą, individualizavimą, atsižvelgiant į individualius mokinių ugdymosi poreikius.</w:t>
            </w:r>
          </w:p>
          <w:p w14:paraId="2F4E0CB6" w14:textId="77777777" w:rsidR="00214330" w:rsidRDefault="00214330" w:rsidP="00214330">
            <w:pPr>
              <w:contextualSpacing/>
            </w:pPr>
            <w:r>
              <w:t>2. Gerinti pamokos ir kitų ugdymo formų kokybę, taikant skaitmenizuoto mokymo turinį ir IKT.</w:t>
            </w:r>
          </w:p>
          <w:p w14:paraId="604A74FC" w14:textId="77777777" w:rsidR="00214330" w:rsidRDefault="00214330" w:rsidP="00214330">
            <w:pPr>
              <w:contextualSpacing/>
            </w:pPr>
            <w:r>
              <w:t>3. Teikti kokybišką ir savalaikę pagalbą mokiniams, stebėti ir analizuoti kiekvieno mokinio asmenybės augimą.</w:t>
            </w:r>
          </w:p>
          <w:p w14:paraId="2376E3B5" w14:textId="77777777" w:rsidR="00214330" w:rsidRDefault="00214330" w:rsidP="00214330">
            <w:pPr>
              <w:contextualSpacing/>
            </w:pPr>
            <w:r>
              <w:t>II. Tikslas.</w:t>
            </w:r>
          </w:p>
          <w:p w14:paraId="230A4968" w14:textId="77777777" w:rsidR="00214330" w:rsidRDefault="00214330" w:rsidP="00214330">
            <w:pPr>
              <w:contextualSpacing/>
            </w:pPr>
            <w:r>
              <w:t xml:space="preserve">Kurti modernią fiziškai bei </w:t>
            </w:r>
            <w:proofErr w:type="spellStart"/>
            <w:r>
              <w:t>emociškai</w:t>
            </w:r>
            <w:proofErr w:type="spellEnd"/>
            <w:r>
              <w:t xml:space="preserve"> saugią </w:t>
            </w:r>
            <w:proofErr w:type="spellStart"/>
            <w:r>
              <w:t>ugdymo(si</w:t>
            </w:r>
            <w:proofErr w:type="spellEnd"/>
            <w:r>
              <w:t>) aplinką.</w:t>
            </w:r>
          </w:p>
          <w:p w14:paraId="5CAEEC87" w14:textId="77777777" w:rsidR="00214330" w:rsidRDefault="00214330" w:rsidP="00214330">
            <w:pPr>
              <w:contextualSpacing/>
            </w:pPr>
            <w:r>
              <w:t>Uždaviniai.</w:t>
            </w:r>
          </w:p>
          <w:p w14:paraId="3DB4D767" w14:textId="77777777" w:rsidR="00214330" w:rsidRDefault="00214330" w:rsidP="00214330">
            <w:pPr>
              <w:contextualSpacing/>
            </w:pPr>
            <w:r>
              <w:t>1. Tobulinti esamas ir kurti naujas edukacines ir kūrybiškas aplinkas mokykloje, pamokose.</w:t>
            </w:r>
          </w:p>
          <w:p w14:paraId="5DB85485" w14:textId="77777777" w:rsidR="00214330" w:rsidRDefault="00214330" w:rsidP="00214330">
            <w:pPr>
              <w:contextualSpacing/>
            </w:pPr>
            <w:r>
              <w:t>2. Vykdyti prevencinę veiklą, užtikrinančią mokinių saugumą.</w:t>
            </w:r>
          </w:p>
          <w:p w14:paraId="038F64D0" w14:textId="77777777" w:rsidR="00214330" w:rsidRDefault="00214330" w:rsidP="00214330">
            <w:pPr>
              <w:contextualSpacing/>
            </w:pPr>
          </w:p>
          <w:p w14:paraId="2F1B21A8" w14:textId="3674067B" w:rsidR="00AE221A" w:rsidRPr="0076346A" w:rsidRDefault="00214330" w:rsidP="00214330">
            <w:pPr>
              <w:contextualSpacing/>
            </w:pPr>
            <w:r>
              <w:t xml:space="preserve">Tikslams ir uždaviniams įgyvendinti buvo parengtas ir patvirtintas pedagoginio darbo priežiūros planas. Pirmojo tikslo įgyvendinimui buvo sudaryta daugiau galimybių kiekvienam mokiniui patirti mokymosi sėkmę stiprinant mokymo diferencijavimą, individualizavimą, atsižvelgiant į individualius mokinių ugdymosi poreikius. Taikant skaitmenizuoto mokymo turinį ir IKT buvo gerinama pamokos ir kitų ugdymo formų kokybė. Mokytojai įgijo skaitmeninių mokymo priemonių naudojimo kompetencijų, esant poreikiui, gerėjo pamokų kokybė, kilo mokinių motyvacija, gerėjo mokinių informacinio raštingumo įgūdžiai ir pasiekimų rezultatai, buvo vykdoma tiriamoji ir projektinė veikla. Mokykla iš atrinktų tiekėjų sąrašo pagal savuosius poreikius  užsisakė  visų klasių mokiniams tikslines programas,  atitinkančias tam tikro amžiaus vaikų ir paauglių raidos ypatumus, psichologų paskaitoms, emocinio intelekto mokymams organizuoti. Mokytojai naudojo skaitmenines mokymo priemones, sėkmingai jas taikė ugdymo procese, gerėjo pamokų kokybė, kilo mokinių motyvacija, gerėjo mokinių informacinio raštingumo  įgūdžiai ir pasiekimų rezultatai. Mokykloje teikta kokybiška ir savalaikė pagalba mokiniams, stebėtas ir analizuotas kiekvieno </w:t>
            </w:r>
            <w:r>
              <w:lastRenderedPageBreak/>
              <w:t>mokinio asmenybės augimas. Antrojo tikslo įgyvendinimui mokyklos aplinkoje ir pamokose tobulintos esamos ir kur</w:t>
            </w:r>
            <w:r w:rsidR="003D6256">
              <w:t>t</w:t>
            </w:r>
            <w:r>
              <w:t>os naujos edukacinės erdvės. Sukurtos edukacinės erdvės („Kaktusų karalystėje“, ,,Linksmosios pėdutės“ ir kt.) sėkmingai taikytos mokinių ugdymo procese. Vykdant prevencinę veiklą, kuria siekta užtikrinti mokinių saugumą, organizuoti įvairūs renginiai. Jų metu mokiniai įgijo žinių apie psichinę, emocinę sveikatą, sužinojo, kur gali kreiptis, jeigu mokykloje kyla problemų dėl saugumo, ugdėsi tolerancijos jausmą. Tikslams ir uždaviniams</w:t>
            </w:r>
            <w:r w:rsidR="00DB62F6">
              <w:t xml:space="preserve"> įgyvendinti buvo organizuot</w:t>
            </w:r>
            <w:r w:rsidR="00FB311D">
              <w:t>i</w:t>
            </w:r>
            <w:r w:rsidR="00DB62F6">
              <w:t xml:space="preserve"> 7</w:t>
            </w:r>
            <w:r>
              <w:t xml:space="preserve"> mokytojų tarybos posėdži</w:t>
            </w:r>
            <w:r w:rsidR="00FB311D">
              <w:t>ai</w:t>
            </w:r>
            <w:r>
              <w:t xml:space="preserve">. </w:t>
            </w:r>
            <w:r w:rsidR="00AE221A">
              <w:t xml:space="preserve"> </w:t>
            </w:r>
          </w:p>
          <w:p w14:paraId="3EE6F64F" w14:textId="77777777" w:rsidR="00AD0683" w:rsidRPr="00AD0683" w:rsidRDefault="00AD0683" w:rsidP="00AD0683">
            <w:pPr>
              <w:contextualSpacing/>
              <w:rPr>
                <w:szCs w:val="24"/>
              </w:rPr>
            </w:pPr>
            <w:r w:rsidRPr="00AD0683">
              <w:rPr>
                <w:szCs w:val="24"/>
              </w:rPr>
              <w:t>Metiniai pažangumo rezultatai.</w:t>
            </w:r>
          </w:p>
          <w:p w14:paraId="3D840B18" w14:textId="71B87C2A" w:rsidR="00AD0683" w:rsidRPr="00AD0683" w:rsidRDefault="00AD0683" w:rsidP="00AD0683">
            <w:pPr>
              <w:contextualSpacing/>
              <w:rPr>
                <w:szCs w:val="24"/>
              </w:rPr>
            </w:pPr>
            <w:r w:rsidRPr="00AD0683">
              <w:rPr>
                <w:szCs w:val="24"/>
              </w:rPr>
              <w:t>Mokslo metų pabaigoje 1-10 klasėse mokėsi 65 mokiniai</w:t>
            </w:r>
            <w:r w:rsidR="002F35CA">
              <w:rPr>
                <w:szCs w:val="24"/>
              </w:rPr>
              <w:t>.</w:t>
            </w:r>
          </w:p>
          <w:p w14:paraId="0DAA5BC2" w14:textId="4E648AD5" w:rsidR="00AD0683" w:rsidRPr="00AD0683" w:rsidRDefault="00AD0683" w:rsidP="00AD0683">
            <w:pPr>
              <w:contextualSpacing/>
              <w:rPr>
                <w:szCs w:val="24"/>
              </w:rPr>
            </w:pPr>
            <w:r w:rsidRPr="00AD0683">
              <w:rPr>
                <w:szCs w:val="24"/>
              </w:rPr>
              <w:t>1-4 klasėse mokėsi 22 mokiniai.  1-4 klasės mokinių pažangos rezultatai: aukštesniuoju lygiu baigė 0 %, pagrindiniu lygiu – 45,5 %, patenkinamu lygiu – 54,5 % mokinių (2021-2022 m. m. aukštesniuoju lygiu baigė 0 %, pagrindiniu lygiu – 54,17 %, patenkinamu lygiu – 41,67 % mokinių; 2020-2021 m. m. aukštesniuoju lygiu baigė 15,38 %, pagrindiniu lygiu – 57,69 %, patenkinamu lygiu – 26,92 %  mokinių; 2019-2020 m. m. aukštesniuoju lygiu baigė 5 %, pagrindiniu lygiu – 45%, patenkinamu lygiu – 50% mokinių;  2018-2019 m. m. mokykloje aukštesniuoju lygiu baigė 7,69 %, aukštesniuoju/pagrindiniu lygiu – 26,92%, aukštesniuoju/pagrindiniu/patenkinamu lygiu – 23,7 %, pagrindiniu – 19,23%, pagrindiniu/patenkinamu lygiu – 19,23 %, nepatenkinamu lygiu – 3,5 % mokinių).</w:t>
            </w:r>
          </w:p>
          <w:p w14:paraId="5B8ED241" w14:textId="77777777" w:rsidR="00AD0683" w:rsidRPr="00AD0683" w:rsidRDefault="00AD0683" w:rsidP="00AD0683">
            <w:pPr>
              <w:contextualSpacing/>
              <w:rPr>
                <w:szCs w:val="24"/>
              </w:rPr>
            </w:pPr>
            <w:r w:rsidRPr="00AD0683">
              <w:rPr>
                <w:szCs w:val="24"/>
              </w:rPr>
              <w:t>6-10 klasėse mokėsi 43 mokiniai. Mokslo metus 9-10 balais baigė 0 %, 10-6 balais – 14%, 10-4 balais – 86 % mokinių, nepatenkinamų įvertinimų turėjo 0 %  mokinių (2021-2022 m. m. 9-10 balais baigė 1,4 %, 10-6 balais – 16 %, 10-4 balais – 82 % mokinių, nepatenkinamų įvertinimų turėjo 0 %  mokinių; 2020-2021 m. m. 9-10 balais baigė 5,77%, 10-6 balais – 46,15% , 10-4 balais – 48,08%  mokinių, nepatenkinamų įvertinimų turėjo 0 %  mokinių; 2019-2020 m. m. 9-10 balais baigė 2,1%, 10-6 balais – 2,6 % , 10-4 balais – 95,3%  mokinių, nepatenkinamų įvertinimų turėjo 0 %  mokinių; 2018-2019 m. m. 9-10 balais baigė 0%, 10-7 balais – 25% , 10-4 balais –75%  mokinių, nepatenkinamų įvertinimų turėjo 0 %  mokinių). Jei 2021-2022 m. m. mokinių pažymių vidurkis 7,58 (padidėjo 1,7 %), tai 2022-2023 m. m. mokinių pažymių vidurkis 7,28 (sumažėjo 0,3 %).</w:t>
            </w:r>
          </w:p>
          <w:p w14:paraId="1124EAF9" w14:textId="77777777" w:rsidR="00AD0683" w:rsidRPr="00AD0683" w:rsidRDefault="00AD0683" w:rsidP="00AD0683">
            <w:pPr>
              <w:contextualSpacing/>
              <w:rPr>
                <w:szCs w:val="24"/>
              </w:rPr>
            </w:pPr>
            <w:r w:rsidRPr="00AD0683">
              <w:rPr>
                <w:szCs w:val="24"/>
              </w:rPr>
              <w:t>Pamokų lankomumas.</w:t>
            </w:r>
          </w:p>
          <w:p w14:paraId="50570063" w14:textId="794619E1" w:rsidR="00AD0683" w:rsidRPr="00AD0683" w:rsidRDefault="00AD0683" w:rsidP="00AD0683">
            <w:pPr>
              <w:contextualSpacing/>
              <w:rPr>
                <w:szCs w:val="24"/>
              </w:rPr>
            </w:pPr>
            <w:r w:rsidRPr="00AD0683">
              <w:rPr>
                <w:szCs w:val="24"/>
              </w:rPr>
              <w:t>2022-2023 m. m. iš viso praleista 3676 pamokos, vienam mokiniui tenka 55,1 pamok</w:t>
            </w:r>
            <w:r w:rsidR="00435310">
              <w:rPr>
                <w:szCs w:val="24"/>
              </w:rPr>
              <w:t>ų</w:t>
            </w:r>
            <w:r w:rsidRPr="00AD0683">
              <w:rPr>
                <w:szCs w:val="24"/>
              </w:rPr>
              <w:t xml:space="preserve"> (2021-2022 m. m. iš viso praleista 6048 pamokos, vienam mokiniui tenka 81,7</w:t>
            </w:r>
            <w:r w:rsidR="00B7342B">
              <w:rPr>
                <w:szCs w:val="24"/>
              </w:rPr>
              <w:t xml:space="preserve"> pamok</w:t>
            </w:r>
            <w:r w:rsidR="00435310">
              <w:rPr>
                <w:szCs w:val="24"/>
              </w:rPr>
              <w:t>ų</w:t>
            </w:r>
            <w:r w:rsidR="00B7342B">
              <w:rPr>
                <w:szCs w:val="24"/>
              </w:rPr>
              <w:t>;</w:t>
            </w:r>
            <w:r w:rsidRPr="00AD0683">
              <w:rPr>
                <w:szCs w:val="24"/>
              </w:rPr>
              <w:t xml:space="preserve"> 2020-2021 m. m. iš viso praleista 2039 pamokos, vienam mokiniui tenka 30,21 pamok</w:t>
            </w:r>
            <w:r w:rsidR="00435310">
              <w:rPr>
                <w:szCs w:val="24"/>
              </w:rPr>
              <w:t>ų</w:t>
            </w:r>
            <w:r w:rsidRPr="00AD0683">
              <w:rPr>
                <w:szCs w:val="24"/>
              </w:rPr>
              <w:t>; 2019-2020 m. m. iš viso praleista 2344 pamokos, vienam mokiniui tenka 31,68 pamok</w:t>
            </w:r>
            <w:r w:rsidR="00435310">
              <w:rPr>
                <w:szCs w:val="24"/>
              </w:rPr>
              <w:t>ų</w:t>
            </w:r>
            <w:r w:rsidRPr="00AD0683">
              <w:rPr>
                <w:szCs w:val="24"/>
              </w:rPr>
              <w:t>; 2018-2019 m. m. praleista 4014 pamokų, vienam mokiniui tenka 51,5 pamok</w:t>
            </w:r>
            <w:r w:rsidR="00435310">
              <w:rPr>
                <w:szCs w:val="24"/>
              </w:rPr>
              <w:t>ų</w:t>
            </w:r>
            <w:r w:rsidRPr="00AD0683">
              <w:rPr>
                <w:szCs w:val="24"/>
              </w:rPr>
              <w:t>; 2017-2018 m. m. praleistos 4707 pamokos, vienam mokiniui tenka 59,58 pamok</w:t>
            </w:r>
            <w:r w:rsidR="00435310">
              <w:rPr>
                <w:szCs w:val="24"/>
              </w:rPr>
              <w:t>ų</w:t>
            </w:r>
            <w:r w:rsidRPr="00AD0683">
              <w:rPr>
                <w:szCs w:val="24"/>
              </w:rPr>
              <w:t>).</w:t>
            </w:r>
          </w:p>
          <w:p w14:paraId="34B6BD11" w14:textId="18BE61D2" w:rsidR="00AD0683" w:rsidRPr="00AD0683" w:rsidRDefault="00AD0683" w:rsidP="00AD0683">
            <w:pPr>
              <w:contextualSpacing/>
              <w:rPr>
                <w:szCs w:val="24"/>
              </w:rPr>
            </w:pPr>
            <w:r w:rsidRPr="00AD0683">
              <w:rPr>
                <w:szCs w:val="24"/>
              </w:rPr>
              <w:t>Dėl ligos praleista 2599 pamokos, vienam mokiniui tenka 39,98 pamok</w:t>
            </w:r>
            <w:r w:rsidR="000A392C">
              <w:rPr>
                <w:szCs w:val="24"/>
              </w:rPr>
              <w:t>ų</w:t>
            </w:r>
            <w:r w:rsidRPr="00AD0683">
              <w:rPr>
                <w:szCs w:val="24"/>
              </w:rPr>
              <w:t xml:space="preserve"> (2021-2022 m. m. praleista 3907 pamokos, vienam mokiniui tenka 52,8 pamok</w:t>
            </w:r>
            <w:r w:rsidR="000A392C">
              <w:rPr>
                <w:szCs w:val="24"/>
              </w:rPr>
              <w:t>ų</w:t>
            </w:r>
            <w:r w:rsidRPr="00AD0683">
              <w:rPr>
                <w:szCs w:val="24"/>
              </w:rPr>
              <w:t>; 2020-2021 m. m. praleista 823 pamokos, vienam mokiniui tenka 15,82 pamok</w:t>
            </w:r>
            <w:r w:rsidR="000A392C">
              <w:rPr>
                <w:szCs w:val="24"/>
              </w:rPr>
              <w:t>ų</w:t>
            </w:r>
            <w:r w:rsidRPr="00AD0683">
              <w:rPr>
                <w:szCs w:val="24"/>
              </w:rPr>
              <w:t>; 2019-2020 m. m. praleista 1557 pamokos, vienam mokiniui tenka 21,04 pamok</w:t>
            </w:r>
            <w:r w:rsidR="000A392C">
              <w:rPr>
                <w:szCs w:val="24"/>
              </w:rPr>
              <w:t>ų</w:t>
            </w:r>
            <w:r w:rsidRPr="00AD0683">
              <w:rPr>
                <w:szCs w:val="24"/>
              </w:rPr>
              <w:t>; 2018-2019 m. m. praleist</w:t>
            </w:r>
            <w:r w:rsidR="007D7959">
              <w:rPr>
                <w:szCs w:val="24"/>
              </w:rPr>
              <w:t>a</w:t>
            </w:r>
            <w:r w:rsidRPr="00AD0683">
              <w:rPr>
                <w:szCs w:val="24"/>
              </w:rPr>
              <w:t xml:space="preserve"> 2706 pamokos, vienam mokiniui tenka 34,7 pamok</w:t>
            </w:r>
            <w:r w:rsidR="000A392C">
              <w:rPr>
                <w:szCs w:val="24"/>
              </w:rPr>
              <w:t>ų</w:t>
            </w:r>
            <w:r w:rsidRPr="00AD0683">
              <w:rPr>
                <w:szCs w:val="24"/>
              </w:rPr>
              <w:t>; 2017-2018 m. m. praleista 3 410 pamokų, vienam mokiniui tenka 43,16 pamok</w:t>
            </w:r>
            <w:r w:rsidR="000A392C">
              <w:rPr>
                <w:szCs w:val="24"/>
              </w:rPr>
              <w:t>ų</w:t>
            </w:r>
            <w:r w:rsidRPr="00AD0683">
              <w:rPr>
                <w:szCs w:val="24"/>
              </w:rPr>
              <w:t>; 2017-2018 m. m. praleista 3 410 pamokų, vienam mokiniui tenka 43,16 pamok</w:t>
            </w:r>
            <w:r w:rsidR="000A392C">
              <w:rPr>
                <w:szCs w:val="24"/>
              </w:rPr>
              <w:t>ų</w:t>
            </w:r>
            <w:r w:rsidRPr="00AD0683">
              <w:rPr>
                <w:szCs w:val="24"/>
              </w:rPr>
              <w:t>).</w:t>
            </w:r>
          </w:p>
          <w:p w14:paraId="61800C9E" w14:textId="29289FF6" w:rsidR="00AD0683" w:rsidRPr="00AD0683" w:rsidRDefault="00AD0683" w:rsidP="00AD0683">
            <w:pPr>
              <w:contextualSpacing/>
              <w:rPr>
                <w:szCs w:val="24"/>
              </w:rPr>
            </w:pPr>
            <w:r w:rsidRPr="00AD0683">
              <w:rPr>
                <w:szCs w:val="24"/>
              </w:rPr>
              <w:t>Dėl kitų priežasčių praleista 1010  pamokų, vienam mokiniui tenka 15,54 pamok</w:t>
            </w:r>
            <w:r w:rsidR="003367C4">
              <w:rPr>
                <w:szCs w:val="24"/>
              </w:rPr>
              <w:t>ų</w:t>
            </w:r>
            <w:r w:rsidRPr="00AD0683">
              <w:rPr>
                <w:szCs w:val="24"/>
              </w:rPr>
              <w:t xml:space="preserve"> (2021-2022 m. m. praleist</w:t>
            </w:r>
            <w:r w:rsidR="00880BCD">
              <w:rPr>
                <w:szCs w:val="24"/>
              </w:rPr>
              <w:t>a</w:t>
            </w:r>
            <w:r w:rsidRPr="00AD0683">
              <w:rPr>
                <w:szCs w:val="24"/>
              </w:rPr>
              <w:t xml:space="preserve"> 2066  pamokos, vienam mokiniui tenka 27,92 pamok</w:t>
            </w:r>
            <w:r w:rsidR="003367C4">
              <w:rPr>
                <w:szCs w:val="24"/>
              </w:rPr>
              <w:t>ų</w:t>
            </w:r>
            <w:r w:rsidRPr="00AD0683">
              <w:rPr>
                <w:szCs w:val="24"/>
              </w:rPr>
              <w:t>; 2020-2021 m. m. praleist</w:t>
            </w:r>
            <w:r w:rsidR="00880BCD">
              <w:rPr>
                <w:szCs w:val="24"/>
              </w:rPr>
              <w:t>a</w:t>
            </w:r>
            <w:r w:rsidRPr="00AD0683">
              <w:rPr>
                <w:szCs w:val="24"/>
              </w:rPr>
              <w:t xml:space="preserve"> 1067  pamokos, vienam mokiniui tenka 20,52 pamok</w:t>
            </w:r>
            <w:r w:rsidR="003367C4">
              <w:rPr>
                <w:szCs w:val="24"/>
              </w:rPr>
              <w:t>ų</w:t>
            </w:r>
            <w:r w:rsidRPr="00AD0683">
              <w:rPr>
                <w:szCs w:val="24"/>
              </w:rPr>
              <w:t>; 2019-2020 m. m. praleist</w:t>
            </w:r>
            <w:r w:rsidR="00880BCD">
              <w:rPr>
                <w:szCs w:val="24"/>
              </w:rPr>
              <w:t>a</w:t>
            </w:r>
            <w:r w:rsidRPr="00AD0683">
              <w:rPr>
                <w:szCs w:val="24"/>
              </w:rPr>
              <w:t xml:space="preserve"> 756  pamokos, vienam mokiniui tenka 10,22 pamokų; 2018-2019 m. m. praleist</w:t>
            </w:r>
            <w:r w:rsidR="00A13CF6">
              <w:rPr>
                <w:szCs w:val="24"/>
              </w:rPr>
              <w:t>a</w:t>
            </w:r>
            <w:r w:rsidRPr="00AD0683">
              <w:rPr>
                <w:szCs w:val="24"/>
              </w:rPr>
              <w:t xml:space="preserve"> 1192 pamokos, vienam mokiniui tenka 15,3 pamokų; 2017-2018 m. m. praleista 1 161 pamoka, vienam mokiniui tenka 14,7 pamokų).</w:t>
            </w:r>
          </w:p>
          <w:p w14:paraId="0870E244" w14:textId="39D1A533" w:rsidR="00AD0683" w:rsidRPr="00AD0683" w:rsidRDefault="00AD0683" w:rsidP="00AD0683">
            <w:pPr>
              <w:contextualSpacing/>
              <w:rPr>
                <w:szCs w:val="24"/>
              </w:rPr>
            </w:pPr>
            <w:r w:rsidRPr="00AD0683">
              <w:rPr>
                <w:szCs w:val="24"/>
              </w:rPr>
              <w:t>Nepateisinta 71 pamoka, vienam mokiniui tenka 1,1 pamokos (2021-2022 m. m. nepateisinta 51 pamoka, vienam mokiniui tenka 0,69 pamok</w:t>
            </w:r>
            <w:r w:rsidR="003367C4">
              <w:rPr>
                <w:szCs w:val="24"/>
              </w:rPr>
              <w:t>os</w:t>
            </w:r>
            <w:r w:rsidRPr="00AD0683">
              <w:rPr>
                <w:szCs w:val="24"/>
              </w:rPr>
              <w:t>; 2020-2021 m. m. praleist</w:t>
            </w:r>
            <w:r w:rsidR="003367C4">
              <w:rPr>
                <w:szCs w:val="24"/>
              </w:rPr>
              <w:t>a</w:t>
            </w:r>
            <w:r w:rsidRPr="00AD0683">
              <w:rPr>
                <w:szCs w:val="24"/>
              </w:rPr>
              <w:t xml:space="preserve"> 149 pamokos, vienam mokiniui tenka 2,87 pamokų; 2019-2020 m. m. praleista 31 pamoka, vienam mokiniui tenka 0,42 pamokos; 2018-2019 m. m. praleista112 pamokų, vienam mokiniui tenka 1,4 pamokų; 2017-2018 m. m. praleist</w:t>
            </w:r>
            <w:r w:rsidR="003367C4">
              <w:rPr>
                <w:szCs w:val="24"/>
              </w:rPr>
              <w:t>a</w:t>
            </w:r>
            <w:r w:rsidRPr="00AD0683">
              <w:rPr>
                <w:szCs w:val="24"/>
              </w:rPr>
              <w:t xml:space="preserve"> 136 pamokos, vienam mokiniui tenka 1,72 pamokų).</w:t>
            </w:r>
          </w:p>
          <w:p w14:paraId="6DA50E83" w14:textId="3574849F" w:rsidR="00AD0683" w:rsidRPr="00AD0683" w:rsidRDefault="00AD0683" w:rsidP="00AD0683">
            <w:pPr>
              <w:contextualSpacing/>
              <w:rPr>
                <w:szCs w:val="24"/>
              </w:rPr>
            </w:pPr>
            <w:r w:rsidRPr="00AD0683">
              <w:rPr>
                <w:szCs w:val="24"/>
              </w:rPr>
              <w:t>Geriausiai 2022-2023 m. m. mokyklą lankė 1 ir 3 klasių mokiniai, vienam mokiniui tenka 39,6 ir 38,6 praleist</w:t>
            </w:r>
            <w:r w:rsidR="003367C4">
              <w:rPr>
                <w:szCs w:val="24"/>
              </w:rPr>
              <w:t>ų</w:t>
            </w:r>
            <w:r w:rsidRPr="00AD0683">
              <w:rPr>
                <w:szCs w:val="24"/>
              </w:rPr>
              <w:t xml:space="preserve"> pamok</w:t>
            </w:r>
            <w:r w:rsidR="003367C4">
              <w:rPr>
                <w:szCs w:val="24"/>
              </w:rPr>
              <w:t>ų</w:t>
            </w:r>
            <w:r w:rsidRPr="00AD0683">
              <w:rPr>
                <w:szCs w:val="24"/>
              </w:rPr>
              <w:t xml:space="preserve"> (2021-2022 m. m. mokyklą </w:t>
            </w:r>
            <w:r w:rsidR="00F06C5A">
              <w:rPr>
                <w:szCs w:val="24"/>
              </w:rPr>
              <w:t xml:space="preserve">geriausiai </w:t>
            </w:r>
            <w:r w:rsidRPr="00AD0683">
              <w:rPr>
                <w:szCs w:val="24"/>
              </w:rPr>
              <w:t>lankė 1 ir 5 klasių mokiniai, vienam mokiniui tenka 32 ir 70 praleistų pamokų; 2020-2021 m. m. geriausiai lankė 3 ir 5 klasių mokiniai, vienam mokiniui tenka 6 ir 14 praleistų pamokų; 2019-2020 m. m. geriausiai lankė 2 ir 5 klasių mokiniai, vienam mokiniui tenka 12 ir 39 praleistos pamokos; 2017-2018 m. m. geriausiai lankė 1 ir 9 klasių mokiniai, vienam mokiniui tenka 19,8 ir 21,83 praleistų pamokų).</w:t>
            </w:r>
          </w:p>
          <w:p w14:paraId="702AA030" w14:textId="4E4B494B" w:rsidR="00AD0683" w:rsidRPr="00AD0683" w:rsidRDefault="00AD0683" w:rsidP="00AD0683">
            <w:pPr>
              <w:contextualSpacing/>
              <w:rPr>
                <w:szCs w:val="24"/>
              </w:rPr>
            </w:pPr>
            <w:r w:rsidRPr="00AD0683">
              <w:rPr>
                <w:szCs w:val="24"/>
              </w:rPr>
              <w:t xml:space="preserve">Daugiausia pamokų praleido 9 ir 10 klasių mokiniai, vienam mokiniui tenka 81 ir 70 praleistų pamokų (2021-2022 m. m. daugiausia pamokų praleido 3 ir 7 klasių mokiniai, vienam mokiniui tenka 107 ir 125 praleistos pamokos 2020-2021 m. m. – 1 ir 10 klasių mokiniai, vienam mokiniui tenka 23 ir 83,9  praleistos pamokos; 2018-2019 m. m. – 2 ir 9 klasių mokiniai, vienam mokiniui tenka 32 ir 107 praleistos pamokos; 2017-2018 m. m. daugiausia pamokų pradinėse klasėse praleido 3 klasės mokiniai, vienam mokiniui tenka 35,2 praleistų pamokų). </w:t>
            </w:r>
          </w:p>
          <w:p w14:paraId="2E504128" w14:textId="77777777" w:rsidR="00AD0683" w:rsidRPr="00AD0683" w:rsidRDefault="00AD0683" w:rsidP="00AD0683">
            <w:pPr>
              <w:contextualSpacing/>
              <w:rPr>
                <w:szCs w:val="24"/>
              </w:rPr>
            </w:pPr>
            <w:r w:rsidRPr="00AD0683">
              <w:rPr>
                <w:szCs w:val="24"/>
              </w:rPr>
              <w:t xml:space="preserve">Lankomumas 2022-2023  m. m., lyginant su praėjusiais mokslo metais, pagerėjo. </w:t>
            </w:r>
          </w:p>
          <w:p w14:paraId="57E06EC7" w14:textId="77777777" w:rsidR="00AD0683" w:rsidRPr="00AD0683" w:rsidRDefault="00AD0683" w:rsidP="00AD0683">
            <w:pPr>
              <w:contextualSpacing/>
              <w:rPr>
                <w:szCs w:val="24"/>
              </w:rPr>
            </w:pPr>
          </w:p>
          <w:p w14:paraId="58069A90" w14:textId="77777777" w:rsidR="00AD0683" w:rsidRPr="00AD0683" w:rsidRDefault="00AD0683" w:rsidP="00AD0683">
            <w:pPr>
              <w:contextualSpacing/>
              <w:rPr>
                <w:szCs w:val="24"/>
              </w:rPr>
            </w:pPr>
            <w:r w:rsidRPr="00AD0683">
              <w:rPr>
                <w:szCs w:val="24"/>
              </w:rPr>
              <w:t>Pagrindinio ugdymo pasiekimų patikrinimas (PUPP).</w:t>
            </w:r>
          </w:p>
          <w:p w14:paraId="10647117" w14:textId="550050A5" w:rsidR="00AD0683" w:rsidRPr="00AD0683" w:rsidRDefault="00AD0683" w:rsidP="00AD0683">
            <w:pPr>
              <w:contextualSpacing/>
              <w:rPr>
                <w:szCs w:val="24"/>
              </w:rPr>
            </w:pPr>
            <w:r w:rsidRPr="00AD0683">
              <w:rPr>
                <w:szCs w:val="24"/>
              </w:rPr>
              <w:t>PUPP  laikė dešimt 10 klasės mokini</w:t>
            </w:r>
            <w:r w:rsidR="00EF4401">
              <w:rPr>
                <w:szCs w:val="24"/>
              </w:rPr>
              <w:t>ų</w:t>
            </w:r>
            <w:r w:rsidRPr="00AD0683">
              <w:rPr>
                <w:szCs w:val="24"/>
              </w:rPr>
              <w:t xml:space="preserve">. Geriausiai sekėsi  lietuvių kalba: 3 mokiniai įvertinti 7 balais, kiti – 6,5,3 balais. Galutinis lietuvių kalbos ir literatūros įvertinimo vidurkis </w:t>
            </w:r>
            <w:r w:rsidR="00EF4401">
              <w:rPr>
                <w:szCs w:val="24"/>
              </w:rPr>
              <w:t>balais</w:t>
            </w:r>
            <w:r w:rsidRPr="00AD0683">
              <w:rPr>
                <w:szCs w:val="24"/>
              </w:rPr>
              <w:t xml:space="preserve">– 5,6. Matematiką laikė 10 mokinių. Iš jų 3 mokiniai įvertinti patenkinamais balais – 6,5,4, kiti mokiniai įvertinti nepatenkinamais balais – 3,2. Vidurkis 3,3 balo. Palyginus I pusmečio ir PUPP rezultatus, prastesni tiek lietuvių kalbos, tiek ir matematikos PUPP rezultatai. </w:t>
            </w:r>
          </w:p>
          <w:p w14:paraId="78532C9C" w14:textId="77777777" w:rsidR="00AD0683" w:rsidRPr="00AD0683" w:rsidRDefault="00AD0683" w:rsidP="00AD0683">
            <w:pPr>
              <w:contextualSpacing/>
              <w:rPr>
                <w:szCs w:val="24"/>
              </w:rPr>
            </w:pPr>
          </w:p>
          <w:p w14:paraId="29E351C9" w14:textId="77777777" w:rsidR="00AD0683" w:rsidRPr="00AD0683" w:rsidRDefault="00AD0683" w:rsidP="00AD0683">
            <w:pPr>
              <w:contextualSpacing/>
              <w:rPr>
                <w:szCs w:val="24"/>
              </w:rPr>
            </w:pPr>
            <w:r w:rsidRPr="00AD0683">
              <w:rPr>
                <w:szCs w:val="24"/>
              </w:rPr>
              <w:t xml:space="preserve">Nacionalinio mokinių pasiekimo patikrinimo (NMPP) rezultatai. </w:t>
            </w:r>
          </w:p>
          <w:p w14:paraId="10C56244" w14:textId="26E754A2" w:rsidR="00AD0683" w:rsidRPr="00AD0683" w:rsidRDefault="00AD0683" w:rsidP="00AD0683">
            <w:pPr>
              <w:contextualSpacing/>
              <w:rPr>
                <w:szCs w:val="24"/>
              </w:rPr>
            </w:pPr>
            <w:r w:rsidRPr="00AD0683">
              <w:rPr>
                <w:szCs w:val="24"/>
              </w:rPr>
              <w:t xml:space="preserve">2023 m. NMPP dalyvavo </w:t>
            </w:r>
            <w:r w:rsidR="008F49EF">
              <w:rPr>
                <w:szCs w:val="24"/>
              </w:rPr>
              <w:t xml:space="preserve">keturi </w:t>
            </w:r>
            <w:r w:rsidRPr="00AD0683">
              <w:rPr>
                <w:szCs w:val="24"/>
              </w:rPr>
              <w:t>4 klasės mokiniai.</w:t>
            </w:r>
          </w:p>
          <w:p w14:paraId="7F5780CC" w14:textId="77777777" w:rsidR="00AD0683" w:rsidRPr="00AD0683" w:rsidRDefault="00AD0683" w:rsidP="00AD0683">
            <w:pPr>
              <w:contextualSpacing/>
              <w:rPr>
                <w:szCs w:val="24"/>
              </w:rPr>
            </w:pPr>
            <w:r w:rsidRPr="00AD0683">
              <w:rPr>
                <w:szCs w:val="24"/>
              </w:rPr>
              <w:t>4 klasės mokinių rezultatai: matematikos  patikrinimą atliko 3 mokiniai, skaitymo – 4. Matematikos surinktų taškų procentinis vidurkis – 29,6 (2022 m. m. – 50,9 %). Pasaulio pažinimo  procentinis vidurkis – 0, nebuvo patikrinimo (2022 m. – 67,5 %).  Skaitymo  procentinis taškų vidurkis – 18,9 (2022 m. m. – 33,3 %). Iš turimų rezultatų matoma, kad šiemet geriau sekėsi pasaulio pažinimas. Kaip ir kiekvienais metais sunkiausiai sekėsi skaitymas. Pagal veiklos sritis iš matematikos geriausiai sekėsi statistika (50%), skaičiai ir skaičiavimai (45,2%), sunkiau geometrija, matai ir matavimai (13,3%), komunikavimas ir bendrosios problemų sprendimų strategijos (14,3 %). Skaityme pagal skaitomo teksto aspektą geriausiai sekėsi interpretavimas (50%), sunkiau informacijos radimas (8,3%). Pagal kognityvinių gebėjimų grupę iš matematikos geriausiai sekėsi žinios ir supratimas (61,5%), sunkiau kaip ir kiekvienais metais – aukštesnieji mąstymo gebėjimai (14,3%). Skaityme geriausiai sekėsi rasti tiesiogiai pateiktą informaciją, nuomones, požiūrius, apibendrinimus (20%), daug blogiau – aukštesnieji mąstymo gebėjimai (tik 10%). Pradinių klasių mokytojoms reikėtų skirti daugiau dėmesio mokinių skaitymui ir aukštesniųjų mąstymo gebėjimų lavinimui.</w:t>
            </w:r>
          </w:p>
          <w:p w14:paraId="5AF517DB" w14:textId="3D33B664" w:rsidR="00AD0683" w:rsidRPr="00AD0683" w:rsidRDefault="00AD0683" w:rsidP="00AD0683">
            <w:pPr>
              <w:contextualSpacing/>
              <w:rPr>
                <w:szCs w:val="24"/>
              </w:rPr>
            </w:pPr>
            <w:r w:rsidRPr="00AD0683">
              <w:rPr>
                <w:szCs w:val="24"/>
              </w:rPr>
              <w:t xml:space="preserve">2023 m. m. NMPP dalyvavo </w:t>
            </w:r>
            <w:r w:rsidR="00091EA9">
              <w:rPr>
                <w:szCs w:val="24"/>
              </w:rPr>
              <w:t>septyni</w:t>
            </w:r>
            <w:r w:rsidRPr="00AD0683">
              <w:rPr>
                <w:szCs w:val="24"/>
              </w:rPr>
              <w:t xml:space="preserve"> </w:t>
            </w:r>
            <w:r w:rsidR="00091EA9">
              <w:rPr>
                <w:szCs w:val="24"/>
              </w:rPr>
              <w:t>8</w:t>
            </w:r>
            <w:r w:rsidRPr="00AD0683">
              <w:rPr>
                <w:szCs w:val="24"/>
              </w:rPr>
              <w:t xml:space="preserve"> klasės mokiniai. Mokiniai laikė skaitymo ir matematikos testus. </w:t>
            </w:r>
            <w:r w:rsidR="002435C9">
              <w:rPr>
                <w:szCs w:val="24"/>
              </w:rPr>
              <w:t>S</w:t>
            </w:r>
            <w:r w:rsidRPr="00AD0683">
              <w:rPr>
                <w:szCs w:val="24"/>
              </w:rPr>
              <w:t xml:space="preserve">kaitymo procentinis vidurkis </w:t>
            </w:r>
            <w:r w:rsidR="002435C9">
              <w:rPr>
                <w:szCs w:val="24"/>
              </w:rPr>
              <w:t>yra</w:t>
            </w:r>
            <w:r w:rsidRPr="00AD0683">
              <w:rPr>
                <w:szCs w:val="24"/>
              </w:rPr>
              <w:t xml:space="preserve"> 57,1 (2022 m. </w:t>
            </w:r>
            <w:r w:rsidR="002435C9">
              <w:rPr>
                <w:szCs w:val="24"/>
              </w:rPr>
              <w:t xml:space="preserve">– </w:t>
            </w:r>
            <w:r w:rsidRPr="00AD0683">
              <w:rPr>
                <w:szCs w:val="24"/>
              </w:rPr>
              <w:t xml:space="preserve">69,4) matematikos  – 27,9 (2022 m. </w:t>
            </w:r>
            <w:r w:rsidR="002435C9">
              <w:rPr>
                <w:szCs w:val="24"/>
              </w:rPr>
              <w:t xml:space="preserve">– </w:t>
            </w:r>
            <w:r w:rsidRPr="00AD0683">
              <w:rPr>
                <w:szCs w:val="24"/>
              </w:rPr>
              <w:t>46,2). Pagal teksto suvokimo aspektą geriausiai sekėsi informacijos radimas (procentinis vidurkis</w:t>
            </w:r>
            <w:r w:rsidR="00CA6091">
              <w:rPr>
                <w:szCs w:val="24"/>
              </w:rPr>
              <w:t xml:space="preserve"> – </w:t>
            </w:r>
            <w:r w:rsidRPr="00AD0683">
              <w:rPr>
                <w:szCs w:val="24"/>
              </w:rPr>
              <w:t xml:space="preserve"> 65,7). Žemesni rezultatai  – teksto pobūdis ir kalbinė raiška (procentinis vidurkis</w:t>
            </w:r>
            <w:r w:rsidR="00CA6091">
              <w:rPr>
                <w:szCs w:val="24"/>
              </w:rPr>
              <w:t xml:space="preserve"> –</w:t>
            </w:r>
            <w:r w:rsidRPr="00AD0683">
              <w:rPr>
                <w:szCs w:val="24"/>
              </w:rPr>
              <w:t xml:space="preserve"> 47,6). Pagal skaitomo teksto aspektą geriausiai sekėsi teksto visuma ir detalės (procentinis vidurkis</w:t>
            </w:r>
            <w:r w:rsidR="00CA6091">
              <w:rPr>
                <w:szCs w:val="24"/>
              </w:rPr>
              <w:t xml:space="preserve"> –</w:t>
            </w:r>
            <w:r w:rsidRPr="00AD0683">
              <w:rPr>
                <w:szCs w:val="24"/>
              </w:rPr>
              <w:t xml:space="preserve"> 66,7). Kiek prasčiau sekėsi nuomonės/požiūriai (procentinis vidurkis</w:t>
            </w:r>
            <w:r w:rsidR="00CA6091">
              <w:rPr>
                <w:szCs w:val="24"/>
              </w:rPr>
              <w:t xml:space="preserve"> –</w:t>
            </w:r>
            <w:r w:rsidRPr="00AD0683">
              <w:rPr>
                <w:szCs w:val="24"/>
              </w:rPr>
              <w:t xml:space="preserve"> 20). Pagal kognityvinių gebėjimų grupę vienodai sekėsi taikymas ir aukštesnieji mąstymo gebėjimai (procentinis vidurkis </w:t>
            </w:r>
            <w:r w:rsidR="00D90701">
              <w:rPr>
                <w:szCs w:val="24"/>
              </w:rPr>
              <w:t xml:space="preserve">– </w:t>
            </w:r>
            <w:r w:rsidRPr="00AD0683">
              <w:rPr>
                <w:szCs w:val="24"/>
              </w:rPr>
              <w:t>po 50). Pagal matematikos veiklos sritį geriausiai sekėsi reiškiniai, lygtys, nelygybės, sistemos, sąryšiai ir funkcijos (procentinis vidurkis</w:t>
            </w:r>
            <w:r w:rsidR="00D90701">
              <w:rPr>
                <w:szCs w:val="24"/>
              </w:rPr>
              <w:t xml:space="preserve"> –</w:t>
            </w:r>
            <w:r w:rsidRPr="00AD0683">
              <w:rPr>
                <w:szCs w:val="24"/>
              </w:rPr>
              <w:t xml:space="preserve"> 50). Prasčiau sekėsi problemų sprendimas (procentinis vidurkis</w:t>
            </w:r>
            <w:r w:rsidR="00D90701">
              <w:rPr>
                <w:szCs w:val="24"/>
              </w:rPr>
              <w:t xml:space="preserve"> –</w:t>
            </w:r>
            <w:r w:rsidRPr="00AD0683">
              <w:rPr>
                <w:szCs w:val="24"/>
              </w:rPr>
              <w:t xml:space="preserve"> 14,3). Pagal kognityvinių gebėjimų grupę geriausiai sekėsi taikymas (procentinis vidurkis</w:t>
            </w:r>
            <w:r w:rsidR="00D90701">
              <w:rPr>
                <w:szCs w:val="24"/>
              </w:rPr>
              <w:t xml:space="preserve"> –</w:t>
            </w:r>
            <w:r w:rsidRPr="00AD0683">
              <w:rPr>
                <w:szCs w:val="24"/>
              </w:rPr>
              <w:t xml:space="preserve"> 50). Prasčiau sekėsi žinios ir supratimas, aukštesnieji mąstymo gebėjimai (procentinis vidurkis</w:t>
            </w:r>
            <w:r w:rsidR="00D90701">
              <w:rPr>
                <w:szCs w:val="24"/>
              </w:rPr>
              <w:t xml:space="preserve"> –</w:t>
            </w:r>
            <w:r w:rsidRPr="00AD0683">
              <w:rPr>
                <w:szCs w:val="24"/>
              </w:rPr>
              <w:t xml:space="preserve"> po 20).   </w:t>
            </w:r>
          </w:p>
          <w:p w14:paraId="07A10F3E" w14:textId="77777777" w:rsidR="00AD0683" w:rsidRPr="00AD0683" w:rsidRDefault="00AD0683" w:rsidP="00AD0683">
            <w:pPr>
              <w:contextualSpacing/>
              <w:rPr>
                <w:szCs w:val="24"/>
              </w:rPr>
            </w:pPr>
          </w:p>
          <w:p w14:paraId="48D27977" w14:textId="77777777" w:rsidR="00AD0683" w:rsidRPr="00AD0683" w:rsidRDefault="00AD0683" w:rsidP="00AD0683">
            <w:pPr>
              <w:contextualSpacing/>
              <w:rPr>
                <w:szCs w:val="24"/>
              </w:rPr>
            </w:pPr>
            <w:r w:rsidRPr="00AD0683">
              <w:rPr>
                <w:szCs w:val="24"/>
              </w:rPr>
              <w:t>Mokyklos veiklos  įsivertinimo rezultatai.</w:t>
            </w:r>
          </w:p>
          <w:p w14:paraId="5C910384" w14:textId="772E9640" w:rsidR="00AD0683" w:rsidRPr="00AD0683" w:rsidRDefault="00AD0683" w:rsidP="00AD0683">
            <w:pPr>
              <w:contextualSpacing/>
              <w:rPr>
                <w:szCs w:val="24"/>
              </w:rPr>
            </w:pPr>
            <w:r w:rsidRPr="00AD0683">
              <w:rPr>
                <w:szCs w:val="24"/>
              </w:rPr>
              <w:t>2022-2023  m. m. mokyklos veiklos kokybės įsivertinimui buvo nutarta atlikti visų įsivertinimo sričių platųjį auditą ir pasirinkta 1.Sritis ,,Rezultatai‘‘.</w:t>
            </w:r>
            <w:r w:rsidR="00AD1A4B">
              <w:rPr>
                <w:szCs w:val="24"/>
              </w:rPr>
              <w:t xml:space="preserve"> </w:t>
            </w:r>
            <w:r w:rsidRPr="00AD0683">
              <w:rPr>
                <w:szCs w:val="24"/>
              </w:rPr>
              <w:t>Tema 1.1.Asmenybės branda. Rodiklis 1.1.1.Asmenybės tapsmas. Buvo siekiama nustatyti mokyklos veiklos stipriąsias ir tobulintinas puses šiose srityse.</w:t>
            </w:r>
          </w:p>
          <w:p w14:paraId="4240D783" w14:textId="77777777" w:rsidR="00AD0683" w:rsidRPr="00AD0683" w:rsidRDefault="00AD0683" w:rsidP="00AD0683">
            <w:pPr>
              <w:contextualSpacing/>
              <w:rPr>
                <w:szCs w:val="24"/>
              </w:rPr>
            </w:pPr>
          </w:p>
          <w:p w14:paraId="4C98A065" w14:textId="77777777" w:rsidR="00AD0683" w:rsidRPr="00AD0683" w:rsidRDefault="00AD0683" w:rsidP="00AD0683">
            <w:pPr>
              <w:contextualSpacing/>
              <w:rPr>
                <w:szCs w:val="24"/>
              </w:rPr>
            </w:pPr>
            <w:r w:rsidRPr="00AD0683">
              <w:rPr>
                <w:szCs w:val="24"/>
              </w:rPr>
              <w:t>2023-2024 m. m. įsivertinimui siūloma:</w:t>
            </w:r>
          </w:p>
          <w:p w14:paraId="164E1A6F" w14:textId="77777777" w:rsidR="00AD0683" w:rsidRPr="00AD0683" w:rsidRDefault="00AD0683" w:rsidP="00AD0683">
            <w:pPr>
              <w:contextualSpacing/>
              <w:rPr>
                <w:szCs w:val="24"/>
              </w:rPr>
            </w:pPr>
            <w:r w:rsidRPr="00AD0683">
              <w:rPr>
                <w:szCs w:val="24"/>
              </w:rPr>
              <w:tab/>
              <w:t>1.Sritis ,,Rezultatai‘‘.</w:t>
            </w:r>
          </w:p>
          <w:p w14:paraId="4D58E2B3" w14:textId="77777777" w:rsidR="00AE221A" w:rsidRDefault="00AD0683" w:rsidP="00AD0683">
            <w:pPr>
              <w:contextualSpacing/>
              <w:rPr>
                <w:szCs w:val="24"/>
              </w:rPr>
            </w:pPr>
            <w:r w:rsidRPr="00AD0683">
              <w:rPr>
                <w:szCs w:val="24"/>
              </w:rPr>
              <w:t>Tema 1.2. Pasiekimai ir pažanga. Rodiklis 1.2.1.Mokinio pasiekimai ir pažanga.</w:t>
            </w:r>
          </w:p>
          <w:p w14:paraId="65FDC6B7" w14:textId="740928CE" w:rsidR="00C3197A" w:rsidRDefault="00C3197A" w:rsidP="00AD0683">
            <w:pPr>
              <w:contextualSpacing/>
              <w:rPr>
                <w:szCs w:val="24"/>
              </w:rPr>
            </w:pPr>
            <w:r>
              <w:rPr>
                <w:szCs w:val="24"/>
              </w:rPr>
              <w:t>Iš ML įsigyta 1 kompiuteris su priedais. Iš savivaldybės AL atliktas dalinis 3 klasės, laiptinės remontas</w:t>
            </w:r>
            <w:r w:rsidR="00DC4DFF">
              <w:rPr>
                <w:szCs w:val="24"/>
              </w:rPr>
              <w:t>.</w:t>
            </w:r>
            <w:r>
              <w:rPr>
                <w:szCs w:val="24"/>
              </w:rPr>
              <w:t xml:space="preserve"> </w:t>
            </w:r>
          </w:p>
          <w:p w14:paraId="53BD4494" w14:textId="77777777" w:rsidR="00AE221A" w:rsidRDefault="00AE221A" w:rsidP="00AE221A">
            <w:pPr>
              <w:pStyle w:val="Betarp"/>
              <w:ind w:firstLine="567"/>
              <w:contextualSpacing/>
              <w:rPr>
                <w:rStyle w:val="Hipersaitas"/>
                <w:b/>
              </w:rPr>
            </w:pPr>
            <w:r>
              <w:rPr>
                <w:rStyle w:val="Hipersaitas"/>
                <w:b/>
              </w:rPr>
              <w:t xml:space="preserve"> </w:t>
            </w:r>
          </w:p>
          <w:p w14:paraId="1EFCC366" w14:textId="77777777" w:rsidR="00464128" w:rsidRPr="00464128" w:rsidRDefault="00464128" w:rsidP="00464128">
            <w:pPr>
              <w:rPr>
                <w:szCs w:val="24"/>
                <w:lang w:eastAsia="lt-LT"/>
              </w:rPr>
            </w:pPr>
            <w:r w:rsidRPr="00464128">
              <w:rPr>
                <w:color w:val="000000"/>
                <w:szCs w:val="24"/>
                <w:lang w:eastAsia="lt-LT"/>
              </w:rPr>
              <w:t>2023 m. Radviliškio r. Pociūnėlių pagrindinės mokyklos finansinė situacija: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41"/>
              <w:gridCol w:w="1746"/>
              <w:gridCol w:w="1774"/>
              <w:gridCol w:w="1283"/>
              <w:gridCol w:w="2084"/>
            </w:tblGrid>
            <w:tr w:rsidR="00464128" w:rsidRPr="00464128" w14:paraId="165C539F" w14:textId="77777777" w:rsidTr="00464128">
              <w:tc>
                <w:tcPr>
                  <w:tcW w:w="2741" w:type="dxa"/>
                  <w:vMerge w:val="restart"/>
                  <w:tcBorders>
                    <w:top w:val="single" w:sz="4" w:space="0" w:color="auto"/>
                    <w:left w:val="single" w:sz="4" w:space="0" w:color="auto"/>
                    <w:bottom w:val="single" w:sz="4" w:space="0" w:color="auto"/>
                    <w:right w:val="single" w:sz="4" w:space="0" w:color="auto"/>
                  </w:tcBorders>
                  <w:vAlign w:val="center"/>
                  <w:hideMark/>
                </w:tcPr>
                <w:p w14:paraId="61E0ED87" w14:textId="77777777" w:rsidR="00464128" w:rsidRPr="00464128" w:rsidRDefault="00464128" w:rsidP="00464128">
                  <w:pPr>
                    <w:rPr>
                      <w:szCs w:val="24"/>
                      <w:lang w:eastAsia="lt-LT"/>
                    </w:rPr>
                  </w:pPr>
                  <w:r w:rsidRPr="00464128">
                    <w:rPr>
                      <w:color w:val="000000"/>
                      <w:szCs w:val="24"/>
                      <w:lang w:eastAsia="lt-LT"/>
                    </w:rPr>
                    <w:t>Finansavimo</w:t>
                  </w:r>
                  <w:r w:rsidRPr="00464128">
                    <w:rPr>
                      <w:color w:val="000000"/>
                      <w:szCs w:val="24"/>
                      <w:lang w:eastAsia="lt-LT"/>
                    </w:rPr>
                    <w:br/>
                    <w:t>šaltinis</w:t>
                  </w:r>
                </w:p>
              </w:tc>
              <w:tc>
                <w:tcPr>
                  <w:tcW w:w="4803" w:type="dxa"/>
                  <w:gridSpan w:val="3"/>
                  <w:tcBorders>
                    <w:top w:val="single" w:sz="4" w:space="0" w:color="auto"/>
                    <w:left w:val="single" w:sz="4" w:space="0" w:color="auto"/>
                    <w:bottom w:val="single" w:sz="4" w:space="0" w:color="auto"/>
                    <w:right w:val="single" w:sz="4" w:space="0" w:color="auto"/>
                  </w:tcBorders>
                  <w:vAlign w:val="center"/>
                  <w:hideMark/>
                </w:tcPr>
                <w:p w14:paraId="0D054D35" w14:textId="77777777" w:rsidR="00464128" w:rsidRPr="00464128" w:rsidRDefault="00464128" w:rsidP="00464128">
                  <w:pPr>
                    <w:spacing w:after="160" w:line="256" w:lineRule="auto"/>
                    <w:rPr>
                      <w:sz w:val="20"/>
                      <w:lang w:eastAsia="lt-LT"/>
                    </w:rPr>
                  </w:pPr>
                  <w:r w:rsidRPr="00464128">
                    <w:rPr>
                      <w:color w:val="000000"/>
                      <w:szCs w:val="24"/>
                      <w:lang w:eastAsia="lt-LT"/>
                    </w:rPr>
                    <w:t xml:space="preserve">Lėšos (tūkst. </w:t>
                  </w:r>
                  <w:proofErr w:type="spellStart"/>
                  <w:r w:rsidRPr="00464128">
                    <w:rPr>
                      <w:color w:val="000000"/>
                      <w:szCs w:val="24"/>
                      <w:lang w:eastAsia="lt-LT"/>
                    </w:rPr>
                    <w:t>Eur</w:t>
                  </w:r>
                  <w:proofErr w:type="spellEnd"/>
                  <w:r w:rsidRPr="00464128">
                    <w:rPr>
                      <w:color w:val="000000"/>
                      <w:szCs w:val="24"/>
                      <w:lang w:eastAsia="lt-LT"/>
                    </w:rPr>
                    <w:t xml:space="preserve">) </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1F6F92B8" w14:textId="77777777" w:rsidR="00464128" w:rsidRPr="00464128" w:rsidRDefault="00464128" w:rsidP="00464128">
                  <w:pPr>
                    <w:spacing w:after="160" w:line="256" w:lineRule="auto"/>
                    <w:jc w:val="center"/>
                    <w:rPr>
                      <w:sz w:val="20"/>
                      <w:lang w:eastAsia="lt-LT"/>
                    </w:rPr>
                  </w:pPr>
                  <w:r w:rsidRPr="00464128">
                    <w:rPr>
                      <w:color w:val="000000"/>
                      <w:szCs w:val="24"/>
                      <w:lang w:eastAsia="lt-LT"/>
                    </w:rPr>
                    <w:t>Pastabos</w:t>
                  </w:r>
                </w:p>
              </w:tc>
            </w:tr>
            <w:tr w:rsidR="00464128" w:rsidRPr="00464128" w14:paraId="1990E2C2" w14:textId="77777777" w:rsidTr="00464128">
              <w:tc>
                <w:tcPr>
                  <w:tcW w:w="0" w:type="auto"/>
                  <w:vMerge/>
                  <w:tcBorders>
                    <w:top w:val="single" w:sz="4" w:space="0" w:color="auto"/>
                    <w:left w:val="single" w:sz="4" w:space="0" w:color="auto"/>
                    <w:bottom w:val="single" w:sz="4" w:space="0" w:color="auto"/>
                    <w:right w:val="single" w:sz="4" w:space="0" w:color="auto"/>
                  </w:tcBorders>
                  <w:vAlign w:val="center"/>
                  <w:hideMark/>
                </w:tcPr>
                <w:p w14:paraId="6F00A5C5" w14:textId="77777777" w:rsidR="00464128" w:rsidRPr="00464128" w:rsidRDefault="00464128" w:rsidP="00464128">
                  <w:pPr>
                    <w:rPr>
                      <w:szCs w:val="24"/>
                      <w:lang w:eastAsia="lt-LT"/>
                    </w:rPr>
                  </w:pPr>
                </w:p>
              </w:tc>
              <w:tc>
                <w:tcPr>
                  <w:tcW w:w="1746" w:type="dxa"/>
                  <w:tcBorders>
                    <w:top w:val="single" w:sz="4" w:space="0" w:color="auto"/>
                    <w:left w:val="single" w:sz="4" w:space="0" w:color="auto"/>
                    <w:bottom w:val="single" w:sz="4" w:space="0" w:color="auto"/>
                    <w:right w:val="single" w:sz="4" w:space="0" w:color="auto"/>
                  </w:tcBorders>
                  <w:vAlign w:val="center"/>
                  <w:hideMark/>
                </w:tcPr>
                <w:p w14:paraId="06E45A73" w14:textId="77777777" w:rsidR="00464128" w:rsidRPr="00464128" w:rsidRDefault="00464128" w:rsidP="00464128">
                  <w:pPr>
                    <w:rPr>
                      <w:szCs w:val="24"/>
                      <w:lang w:eastAsia="lt-LT"/>
                    </w:rPr>
                  </w:pPr>
                  <w:r w:rsidRPr="00464128">
                    <w:rPr>
                      <w:color w:val="000000"/>
                      <w:szCs w:val="24"/>
                      <w:lang w:eastAsia="lt-LT"/>
                    </w:rPr>
                    <w:t>Planas</w:t>
                  </w:r>
                  <w:r w:rsidRPr="00464128">
                    <w:rPr>
                      <w:color w:val="000000"/>
                      <w:szCs w:val="24"/>
                      <w:lang w:eastAsia="lt-LT"/>
                    </w:rPr>
                    <w:br/>
                    <w:t>(patikslintas)</w:t>
                  </w:r>
                </w:p>
              </w:tc>
              <w:tc>
                <w:tcPr>
                  <w:tcW w:w="1774" w:type="dxa"/>
                  <w:tcBorders>
                    <w:top w:val="single" w:sz="4" w:space="0" w:color="auto"/>
                    <w:left w:val="single" w:sz="4" w:space="0" w:color="auto"/>
                    <w:bottom w:val="single" w:sz="4" w:space="0" w:color="auto"/>
                    <w:right w:val="single" w:sz="4" w:space="0" w:color="auto"/>
                  </w:tcBorders>
                  <w:vAlign w:val="center"/>
                  <w:hideMark/>
                </w:tcPr>
                <w:p w14:paraId="016EA634" w14:textId="77777777" w:rsidR="00464128" w:rsidRPr="00464128" w:rsidRDefault="00464128" w:rsidP="00464128">
                  <w:pPr>
                    <w:rPr>
                      <w:szCs w:val="24"/>
                      <w:lang w:eastAsia="lt-LT"/>
                    </w:rPr>
                  </w:pPr>
                  <w:r w:rsidRPr="00464128">
                    <w:rPr>
                      <w:color w:val="000000"/>
                      <w:szCs w:val="24"/>
                      <w:lang w:eastAsia="lt-LT"/>
                    </w:rPr>
                    <w:t>Panaudota</w:t>
                  </w:r>
                  <w:r w:rsidRPr="00464128">
                    <w:rPr>
                      <w:color w:val="000000"/>
                      <w:szCs w:val="24"/>
                      <w:lang w:eastAsia="lt-LT"/>
                    </w:rPr>
                    <w:br/>
                    <w:t>lėšų</w:t>
                  </w:r>
                </w:p>
              </w:tc>
              <w:tc>
                <w:tcPr>
                  <w:tcW w:w="1283" w:type="dxa"/>
                  <w:tcBorders>
                    <w:top w:val="single" w:sz="4" w:space="0" w:color="auto"/>
                    <w:left w:val="single" w:sz="4" w:space="0" w:color="auto"/>
                    <w:bottom w:val="single" w:sz="4" w:space="0" w:color="auto"/>
                    <w:right w:val="single" w:sz="4" w:space="0" w:color="auto"/>
                  </w:tcBorders>
                  <w:hideMark/>
                </w:tcPr>
                <w:p w14:paraId="0CEAC3C1" w14:textId="77777777" w:rsidR="00464128" w:rsidRPr="00464128" w:rsidRDefault="00464128" w:rsidP="00464128">
                  <w:pPr>
                    <w:spacing w:after="160" w:line="256" w:lineRule="auto"/>
                    <w:rPr>
                      <w:sz w:val="20"/>
                      <w:lang w:eastAsia="lt-LT"/>
                    </w:rPr>
                  </w:pPr>
                  <w:r w:rsidRPr="00464128">
                    <w:rPr>
                      <w:color w:val="000000"/>
                      <w:szCs w:val="24"/>
                      <w:lang w:eastAsia="lt-LT"/>
                    </w:rPr>
                    <w:t>Įvykdymas</w:t>
                  </w:r>
                  <w:r w:rsidRPr="00464128">
                    <w:rPr>
                      <w:color w:val="000000"/>
                      <w:szCs w:val="24"/>
                      <w:lang w:eastAsia="lt-LT"/>
                    </w:rPr>
                    <w:b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472B2" w14:textId="77777777" w:rsidR="00464128" w:rsidRPr="00464128" w:rsidRDefault="00464128" w:rsidP="00464128">
                  <w:pPr>
                    <w:rPr>
                      <w:sz w:val="20"/>
                      <w:lang w:eastAsia="lt-LT"/>
                    </w:rPr>
                  </w:pPr>
                </w:p>
              </w:tc>
            </w:tr>
            <w:tr w:rsidR="00464128" w:rsidRPr="00464128" w14:paraId="32627066" w14:textId="77777777" w:rsidTr="00464128">
              <w:tc>
                <w:tcPr>
                  <w:tcW w:w="2741" w:type="dxa"/>
                  <w:tcBorders>
                    <w:top w:val="single" w:sz="4" w:space="0" w:color="auto"/>
                    <w:left w:val="single" w:sz="4" w:space="0" w:color="auto"/>
                    <w:bottom w:val="single" w:sz="4" w:space="0" w:color="auto"/>
                    <w:right w:val="single" w:sz="4" w:space="0" w:color="auto"/>
                  </w:tcBorders>
                  <w:vAlign w:val="center"/>
                  <w:hideMark/>
                </w:tcPr>
                <w:p w14:paraId="6657DE44" w14:textId="77777777" w:rsidR="00464128" w:rsidRPr="00464128" w:rsidRDefault="00464128" w:rsidP="00464128">
                  <w:pPr>
                    <w:rPr>
                      <w:szCs w:val="24"/>
                      <w:lang w:eastAsia="lt-LT"/>
                    </w:rPr>
                  </w:pPr>
                  <w:r w:rsidRPr="00464128">
                    <w:rPr>
                      <w:color w:val="000000"/>
                      <w:szCs w:val="24"/>
                      <w:lang w:eastAsia="lt-LT"/>
                    </w:rPr>
                    <w:t>Savivaldybės biudžetas (SB)</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3F6B839" w14:textId="77777777" w:rsidR="00464128" w:rsidRPr="00464128" w:rsidRDefault="00464128" w:rsidP="00464128">
                  <w:pPr>
                    <w:rPr>
                      <w:szCs w:val="24"/>
                      <w:lang w:eastAsia="lt-LT"/>
                    </w:rPr>
                  </w:pPr>
                  <w:r w:rsidRPr="00464128">
                    <w:rPr>
                      <w:szCs w:val="24"/>
                      <w:lang w:eastAsia="lt-LT"/>
                    </w:rPr>
                    <w:t>251.5</w:t>
                  </w:r>
                </w:p>
              </w:tc>
              <w:tc>
                <w:tcPr>
                  <w:tcW w:w="1774" w:type="dxa"/>
                  <w:tcBorders>
                    <w:top w:val="single" w:sz="4" w:space="0" w:color="auto"/>
                    <w:left w:val="single" w:sz="4" w:space="0" w:color="auto"/>
                    <w:bottom w:val="single" w:sz="4" w:space="0" w:color="auto"/>
                    <w:right w:val="single" w:sz="4" w:space="0" w:color="auto"/>
                  </w:tcBorders>
                  <w:vAlign w:val="center"/>
                  <w:hideMark/>
                </w:tcPr>
                <w:p w14:paraId="3B0638E0" w14:textId="77777777" w:rsidR="00464128" w:rsidRPr="00464128" w:rsidRDefault="00464128" w:rsidP="00464128">
                  <w:pPr>
                    <w:rPr>
                      <w:szCs w:val="24"/>
                      <w:lang w:eastAsia="lt-LT"/>
                    </w:rPr>
                  </w:pPr>
                  <w:r w:rsidRPr="00464128">
                    <w:rPr>
                      <w:szCs w:val="24"/>
                      <w:lang w:eastAsia="lt-LT"/>
                    </w:rPr>
                    <w:t>225.7</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8C0BEDD" w14:textId="77777777" w:rsidR="00464128" w:rsidRPr="00464128" w:rsidRDefault="00464128" w:rsidP="00464128">
                  <w:pPr>
                    <w:rPr>
                      <w:szCs w:val="24"/>
                      <w:lang w:eastAsia="lt-LT"/>
                    </w:rPr>
                  </w:pPr>
                  <w:r w:rsidRPr="00464128">
                    <w:rPr>
                      <w:szCs w:val="24"/>
                      <w:lang w:eastAsia="lt-LT"/>
                    </w:rPr>
                    <w:t>89</w:t>
                  </w:r>
                </w:p>
              </w:tc>
              <w:tc>
                <w:tcPr>
                  <w:tcW w:w="2084" w:type="dxa"/>
                  <w:tcBorders>
                    <w:top w:val="single" w:sz="4" w:space="0" w:color="auto"/>
                    <w:left w:val="single" w:sz="4" w:space="0" w:color="auto"/>
                    <w:bottom w:val="single" w:sz="4" w:space="0" w:color="auto"/>
                    <w:right w:val="single" w:sz="4" w:space="0" w:color="auto"/>
                  </w:tcBorders>
                  <w:vAlign w:val="center"/>
                </w:tcPr>
                <w:p w14:paraId="15672E28" w14:textId="77777777" w:rsidR="00464128" w:rsidRPr="00464128" w:rsidRDefault="00464128" w:rsidP="00464128">
                  <w:pPr>
                    <w:rPr>
                      <w:szCs w:val="24"/>
                      <w:lang w:eastAsia="lt-LT"/>
                    </w:rPr>
                  </w:pPr>
                </w:p>
              </w:tc>
            </w:tr>
            <w:tr w:rsidR="00464128" w:rsidRPr="00464128" w14:paraId="0611C1B1" w14:textId="77777777" w:rsidTr="00464128">
              <w:tc>
                <w:tcPr>
                  <w:tcW w:w="2741" w:type="dxa"/>
                  <w:tcBorders>
                    <w:top w:val="single" w:sz="4" w:space="0" w:color="auto"/>
                    <w:left w:val="single" w:sz="4" w:space="0" w:color="auto"/>
                    <w:bottom w:val="single" w:sz="4" w:space="0" w:color="auto"/>
                    <w:right w:val="single" w:sz="4" w:space="0" w:color="auto"/>
                  </w:tcBorders>
                  <w:vAlign w:val="center"/>
                  <w:hideMark/>
                </w:tcPr>
                <w:p w14:paraId="057ED7EB" w14:textId="77777777" w:rsidR="00464128" w:rsidRPr="00464128" w:rsidRDefault="00464128" w:rsidP="00464128">
                  <w:pPr>
                    <w:rPr>
                      <w:szCs w:val="24"/>
                      <w:lang w:eastAsia="lt-LT"/>
                    </w:rPr>
                  </w:pPr>
                  <w:r w:rsidRPr="00464128">
                    <w:rPr>
                      <w:color w:val="000000"/>
                      <w:szCs w:val="24"/>
                      <w:lang w:eastAsia="lt-LT"/>
                    </w:rPr>
                    <w:t>Specialioji tikslinė dotacija (VB)</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E2E0432" w14:textId="77777777" w:rsidR="00464128" w:rsidRPr="00464128" w:rsidRDefault="00464128" w:rsidP="00464128">
                  <w:pPr>
                    <w:rPr>
                      <w:szCs w:val="24"/>
                      <w:lang w:eastAsia="lt-LT"/>
                    </w:rPr>
                  </w:pPr>
                  <w:r w:rsidRPr="00464128">
                    <w:rPr>
                      <w:szCs w:val="24"/>
                      <w:lang w:eastAsia="lt-LT"/>
                    </w:rPr>
                    <w:t>404.7</w:t>
                  </w:r>
                </w:p>
              </w:tc>
              <w:tc>
                <w:tcPr>
                  <w:tcW w:w="1774" w:type="dxa"/>
                  <w:tcBorders>
                    <w:top w:val="single" w:sz="4" w:space="0" w:color="auto"/>
                    <w:left w:val="single" w:sz="4" w:space="0" w:color="auto"/>
                    <w:bottom w:val="single" w:sz="4" w:space="0" w:color="auto"/>
                    <w:right w:val="single" w:sz="4" w:space="0" w:color="auto"/>
                  </w:tcBorders>
                  <w:vAlign w:val="center"/>
                  <w:hideMark/>
                </w:tcPr>
                <w:p w14:paraId="7663EA59" w14:textId="77777777" w:rsidR="00464128" w:rsidRPr="00464128" w:rsidRDefault="00464128" w:rsidP="00464128">
                  <w:pPr>
                    <w:rPr>
                      <w:szCs w:val="24"/>
                      <w:lang w:eastAsia="lt-LT"/>
                    </w:rPr>
                  </w:pPr>
                  <w:r w:rsidRPr="00464128">
                    <w:rPr>
                      <w:szCs w:val="24"/>
                      <w:lang w:eastAsia="lt-LT"/>
                    </w:rPr>
                    <w:t>403.1</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2223FA8" w14:textId="77777777" w:rsidR="00464128" w:rsidRPr="00464128" w:rsidRDefault="00464128" w:rsidP="00464128">
                  <w:pPr>
                    <w:rPr>
                      <w:szCs w:val="24"/>
                      <w:lang w:eastAsia="lt-LT"/>
                    </w:rPr>
                  </w:pPr>
                  <w:r w:rsidRPr="00464128">
                    <w:rPr>
                      <w:szCs w:val="24"/>
                      <w:lang w:eastAsia="lt-LT"/>
                    </w:rPr>
                    <w:t>99</w:t>
                  </w:r>
                </w:p>
              </w:tc>
              <w:tc>
                <w:tcPr>
                  <w:tcW w:w="2084" w:type="dxa"/>
                  <w:tcBorders>
                    <w:top w:val="single" w:sz="4" w:space="0" w:color="auto"/>
                    <w:left w:val="single" w:sz="4" w:space="0" w:color="auto"/>
                    <w:bottom w:val="single" w:sz="4" w:space="0" w:color="auto"/>
                    <w:right w:val="single" w:sz="4" w:space="0" w:color="auto"/>
                  </w:tcBorders>
                  <w:vAlign w:val="center"/>
                </w:tcPr>
                <w:p w14:paraId="26F0FC74" w14:textId="77777777" w:rsidR="00464128" w:rsidRPr="00464128" w:rsidRDefault="00464128" w:rsidP="00464128">
                  <w:pPr>
                    <w:rPr>
                      <w:szCs w:val="24"/>
                      <w:lang w:eastAsia="lt-LT"/>
                    </w:rPr>
                  </w:pPr>
                </w:p>
              </w:tc>
            </w:tr>
            <w:tr w:rsidR="00464128" w:rsidRPr="00464128" w14:paraId="3FEFC2FC" w14:textId="77777777" w:rsidTr="00464128">
              <w:tc>
                <w:tcPr>
                  <w:tcW w:w="2741" w:type="dxa"/>
                  <w:tcBorders>
                    <w:top w:val="single" w:sz="4" w:space="0" w:color="auto"/>
                    <w:left w:val="single" w:sz="4" w:space="0" w:color="auto"/>
                    <w:bottom w:val="single" w:sz="4" w:space="0" w:color="auto"/>
                    <w:right w:val="single" w:sz="4" w:space="0" w:color="auto"/>
                  </w:tcBorders>
                  <w:vAlign w:val="center"/>
                  <w:hideMark/>
                </w:tcPr>
                <w:p w14:paraId="724044B7" w14:textId="77777777" w:rsidR="00464128" w:rsidRPr="00464128" w:rsidRDefault="00464128" w:rsidP="00464128">
                  <w:pPr>
                    <w:rPr>
                      <w:szCs w:val="24"/>
                      <w:lang w:eastAsia="lt-LT"/>
                    </w:rPr>
                  </w:pPr>
                  <w:r w:rsidRPr="00464128">
                    <w:rPr>
                      <w:color w:val="000000"/>
                      <w:szCs w:val="24"/>
                      <w:lang w:eastAsia="lt-LT"/>
                    </w:rPr>
                    <w:t xml:space="preserve">Įstaigos gautos pajamos (surinkta pajamų </w:t>
                  </w:r>
                  <w:proofErr w:type="spellStart"/>
                  <w:r w:rsidRPr="00464128">
                    <w:rPr>
                      <w:color w:val="000000"/>
                      <w:szCs w:val="24"/>
                      <w:lang w:eastAsia="lt-LT"/>
                    </w:rPr>
                    <w:t>SP),iš</w:t>
                  </w:r>
                  <w:proofErr w:type="spellEnd"/>
                  <w:r w:rsidRPr="00464128">
                    <w:rPr>
                      <w:color w:val="000000"/>
                      <w:szCs w:val="24"/>
                      <w:lang w:eastAsia="lt-LT"/>
                    </w:rPr>
                    <w:t xml:space="preserve"> jų:</w:t>
                  </w:r>
                </w:p>
              </w:tc>
              <w:tc>
                <w:tcPr>
                  <w:tcW w:w="1746" w:type="dxa"/>
                  <w:tcBorders>
                    <w:top w:val="single" w:sz="4" w:space="0" w:color="auto"/>
                    <w:left w:val="single" w:sz="4" w:space="0" w:color="auto"/>
                    <w:bottom w:val="single" w:sz="4" w:space="0" w:color="auto"/>
                    <w:right w:val="single" w:sz="4" w:space="0" w:color="auto"/>
                  </w:tcBorders>
                  <w:vAlign w:val="center"/>
                  <w:hideMark/>
                </w:tcPr>
                <w:p w14:paraId="26992122" w14:textId="77777777" w:rsidR="00464128" w:rsidRPr="00464128" w:rsidRDefault="00464128" w:rsidP="00464128">
                  <w:pPr>
                    <w:rPr>
                      <w:szCs w:val="24"/>
                      <w:lang w:eastAsia="lt-LT"/>
                    </w:rPr>
                  </w:pPr>
                  <w:r w:rsidRPr="00464128">
                    <w:rPr>
                      <w:szCs w:val="24"/>
                      <w:lang w:eastAsia="lt-LT"/>
                    </w:rPr>
                    <w:t>7.5</w:t>
                  </w:r>
                </w:p>
              </w:tc>
              <w:tc>
                <w:tcPr>
                  <w:tcW w:w="1774" w:type="dxa"/>
                  <w:tcBorders>
                    <w:top w:val="single" w:sz="4" w:space="0" w:color="auto"/>
                    <w:left w:val="single" w:sz="4" w:space="0" w:color="auto"/>
                    <w:bottom w:val="single" w:sz="4" w:space="0" w:color="auto"/>
                    <w:right w:val="single" w:sz="4" w:space="0" w:color="auto"/>
                  </w:tcBorders>
                  <w:vAlign w:val="center"/>
                  <w:hideMark/>
                </w:tcPr>
                <w:p w14:paraId="5B98EA8B" w14:textId="77777777" w:rsidR="00464128" w:rsidRPr="00464128" w:rsidRDefault="00464128" w:rsidP="00464128">
                  <w:pPr>
                    <w:rPr>
                      <w:szCs w:val="24"/>
                      <w:lang w:eastAsia="lt-LT"/>
                    </w:rPr>
                  </w:pPr>
                  <w:r w:rsidRPr="00464128">
                    <w:rPr>
                      <w:szCs w:val="24"/>
                      <w:lang w:eastAsia="lt-LT"/>
                    </w:rPr>
                    <w:t>6.0</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46AC47E" w14:textId="77777777" w:rsidR="00464128" w:rsidRPr="00464128" w:rsidRDefault="00464128" w:rsidP="00464128">
                  <w:pPr>
                    <w:rPr>
                      <w:szCs w:val="24"/>
                      <w:lang w:eastAsia="lt-LT"/>
                    </w:rPr>
                  </w:pPr>
                  <w:r w:rsidRPr="00464128">
                    <w:rPr>
                      <w:szCs w:val="24"/>
                      <w:lang w:eastAsia="lt-LT"/>
                    </w:rPr>
                    <w:t>80</w:t>
                  </w:r>
                </w:p>
              </w:tc>
              <w:tc>
                <w:tcPr>
                  <w:tcW w:w="2084" w:type="dxa"/>
                  <w:tcBorders>
                    <w:top w:val="single" w:sz="4" w:space="0" w:color="auto"/>
                    <w:left w:val="single" w:sz="4" w:space="0" w:color="auto"/>
                    <w:bottom w:val="single" w:sz="4" w:space="0" w:color="auto"/>
                    <w:right w:val="single" w:sz="4" w:space="0" w:color="auto"/>
                  </w:tcBorders>
                  <w:vAlign w:val="center"/>
                </w:tcPr>
                <w:p w14:paraId="5F00E220" w14:textId="77777777" w:rsidR="00464128" w:rsidRPr="00464128" w:rsidRDefault="00464128" w:rsidP="00464128">
                  <w:pPr>
                    <w:rPr>
                      <w:szCs w:val="24"/>
                      <w:lang w:eastAsia="lt-LT"/>
                    </w:rPr>
                  </w:pPr>
                </w:p>
              </w:tc>
            </w:tr>
            <w:tr w:rsidR="00464128" w:rsidRPr="00464128" w14:paraId="09B61C05" w14:textId="77777777" w:rsidTr="00464128">
              <w:tc>
                <w:tcPr>
                  <w:tcW w:w="2741" w:type="dxa"/>
                  <w:tcBorders>
                    <w:top w:val="single" w:sz="4" w:space="0" w:color="auto"/>
                    <w:left w:val="single" w:sz="4" w:space="0" w:color="auto"/>
                    <w:bottom w:val="single" w:sz="4" w:space="0" w:color="auto"/>
                    <w:right w:val="single" w:sz="4" w:space="0" w:color="auto"/>
                  </w:tcBorders>
                  <w:vAlign w:val="center"/>
                  <w:hideMark/>
                </w:tcPr>
                <w:p w14:paraId="6C1823D2" w14:textId="77777777" w:rsidR="00464128" w:rsidRPr="00464128" w:rsidRDefault="00464128" w:rsidP="00464128">
                  <w:pPr>
                    <w:rPr>
                      <w:szCs w:val="24"/>
                      <w:lang w:eastAsia="lt-LT"/>
                    </w:rPr>
                  </w:pPr>
                  <w:r w:rsidRPr="00464128">
                    <w:rPr>
                      <w:color w:val="000000"/>
                      <w:szCs w:val="24"/>
                      <w:lang w:eastAsia="lt-LT"/>
                    </w:rPr>
                    <w:t>Pajamų išlaidos (SP)</w:t>
                  </w:r>
                </w:p>
              </w:tc>
              <w:tc>
                <w:tcPr>
                  <w:tcW w:w="1746" w:type="dxa"/>
                  <w:tcBorders>
                    <w:top w:val="single" w:sz="4" w:space="0" w:color="auto"/>
                    <w:left w:val="single" w:sz="4" w:space="0" w:color="auto"/>
                    <w:bottom w:val="single" w:sz="4" w:space="0" w:color="auto"/>
                    <w:right w:val="single" w:sz="4" w:space="0" w:color="auto"/>
                  </w:tcBorders>
                  <w:vAlign w:val="center"/>
                  <w:hideMark/>
                </w:tcPr>
                <w:p w14:paraId="75232D2A" w14:textId="77777777" w:rsidR="00464128" w:rsidRPr="00464128" w:rsidRDefault="00464128" w:rsidP="00464128">
                  <w:pPr>
                    <w:rPr>
                      <w:szCs w:val="24"/>
                      <w:lang w:eastAsia="lt-LT"/>
                    </w:rPr>
                  </w:pPr>
                  <w:r w:rsidRPr="00464128">
                    <w:rPr>
                      <w:szCs w:val="24"/>
                      <w:lang w:eastAsia="lt-LT"/>
                    </w:rPr>
                    <w:t>6.8</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188AA74" w14:textId="77777777" w:rsidR="00464128" w:rsidRPr="00464128" w:rsidRDefault="00464128" w:rsidP="00464128">
                  <w:pPr>
                    <w:rPr>
                      <w:szCs w:val="24"/>
                      <w:lang w:eastAsia="lt-LT"/>
                    </w:rPr>
                  </w:pPr>
                  <w:r w:rsidRPr="00464128">
                    <w:rPr>
                      <w:szCs w:val="24"/>
                      <w:lang w:eastAsia="lt-LT"/>
                    </w:rPr>
                    <w:t>5.2</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3000A44" w14:textId="77777777" w:rsidR="00464128" w:rsidRPr="00464128" w:rsidRDefault="00464128" w:rsidP="00464128">
                  <w:pPr>
                    <w:rPr>
                      <w:szCs w:val="24"/>
                      <w:lang w:eastAsia="lt-LT"/>
                    </w:rPr>
                  </w:pPr>
                  <w:r w:rsidRPr="00464128">
                    <w:rPr>
                      <w:szCs w:val="24"/>
                      <w:lang w:eastAsia="lt-LT"/>
                    </w:rPr>
                    <w:t>76</w:t>
                  </w:r>
                </w:p>
              </w:tc>
              <w:tc>
                <w:tcPr>
                  <w:tcW w:w="2084" w:type="dxa"/>
                  <w:tcBorders>
                    <w:top w:val="single" w:sz="4" w:space="0" w:color="auto"/>
                    <w:left w:val="single" w:sz="4" w:space="0" w:color="auto"/>
                    <w:bottom w:val="single" w:sz="4" w:space="0" w:color="auto"/>
                    <w:right w:val="single" w:sz="4" w:space="0" w:color="auto"/>
                  </w:tcBorders>
                  <w:vAlign w:val="center"/>
                </w:tcPr>
                <w:p w14:paraId="4396C2A5" w14:textId="77777777" w:rsidR="00464128" w:rsidRPr="00464128" w:rsidRDefault="00464128" w:rsidP="00464128">
                  <w:pPr>
                    <w:rPr>
                      <w:szCs w:val="24"/>
                      <w:lang w:eastAsia="lt-LT"/>
                    </w:rPr>
                  </w:pPr>
                </w:p>
              </w:tc>
            </w:tr>
            <w:tr w:rsidR="00464128" w:rsidRPr="00464128" w14:paraId="6C1E5DFE" w14:textId="77777777" w:rsidTr="00464128">
              <w:tc>
                <w:tcPr>
                  <w:tcW w:w="2741" w:type="dxa"/>
                  <w:tcBorders>
                    <w:top w:val="single" w:sz="4" w:space="0" w:color="auto"/>
                    <w:left w:val="single" w:sz="4" w:space="0" w:color="auto"/>
                    <w:bottom w:val="single" w:sz="4" w:space="0" w:color="auto"/>
                    <w:right w:val="single" w:sz="4" w:space="0" w:color="auto"/>
                  </w:tcBorders>
                  <w:vAlign w:val="center"/>
                  <w:hideMark/>
                </w:tcPr>
                <w:p w14:paraId="2A5DAAC2" w14:textId="77777777" w:rsidR="00464128" w:rsidRPr="00464128" w:rsidRDefault="00464128" w:rsidP="00464128">
                  <w:pPr>
                    <w:rPr>
                      <w:szCs w:val="24"/>
                      <w:lang w:eastAsia="lt-LT"/>
                    </w:rPr>
                  </w:pPr>
                  <w:r w:rsidRPr="00464128">
                    <w:rPr>
                      <w:color w:val="000000"/>
                      <w:szCs w:val="24"/>
                      <w:lang w:eastAsia="lt-LT"/>
                    </w:rPr>
                    <w:t>Projektų finansavimas (ES; VB;SB)</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66C9E21" w14:textId="77777777" w:rsidR="00464128" w:rsidRPr="00464128" w:rsidRDefault="00464128" w:rsidP="00464128">
                  <w:pPr>
                    <w:rPr>
                      <w:szCs w:val="24"/>
                      <w:lang w:eastAsia="lt-LT"/>
                    </w:rPr>
                  </w:pPr>
                  <w:r w:rsidRPr="00464128">
                    <w:rPr>
                      <w:szCs w:val="24"/>
                      <w:lang w:eastAsia="lt-LT"/>
                    </w:rPr>
                    <w:t>0.6</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FFB4708" w14:textId="77777777" w:rsidR="00464128" w:rsidRPr="00464128" w:rsidRDefault="00464128" w:rsidP="00464128">
                  <w:pPr>
                    <w:rPr>
                      <w:szCs w:val="24"/>
                      <w:lang w:eastAsia="lt-LT"/>
                    </w:rPr>
                  </w:pPr>
                  <w:r w:rsidRPr="00464128">
                    <w:rPr>
                      <w:szCs w:val="24"/>
                      <w:lang w:eastAsia="lt-LT"/>
                    </w:rPr>
                    <w:t>0.6</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5E0DF17" w14:textId="77777777" w:rsidR="00464128" w:rsidRPr="00464128" w:rsidRDefault="00464128" w:rsidP="00464128">
                  <w:pPr>
                    <w:rPr>
                      <w:szCs w:val="24"/>
                      <w:lang w:eastAsia="lt-LT"/>
                    </w:rPr>
                  </w:pPr>
                  <w:r w:rsidRPr="00464128">
                    <w:rPr>
                      <w:szCs w:val="24"/>
                      <w:lang w:eastAsia="lt-LT"/>
                    </w:rPr>
                    <w:t>100</w:t>
                  </w:r>
                </w:p>
              </w:tc>
              <w:tc>
                <w:tcPr>
                  <w:tcW w:w="2084" w:type="dxa"/>
                  <w:tcBorders>
                    <w:top w:val="single" w:sz="4" w:space="0" w:color="auto"/>
                    <w:left w:val="single" w:sz="4" w:space="0" w:color="auto"/>
                    <w:bottom w:val="single" w:sz="4" w:space="0" w:color="auto"/>
                    <w:right w:val="single" w:sz="4" w:space="0" w:color="auto"/>
                  </w:tcBorders>
                  <w:vAlign w:val="center"/>
                </w:tcPr>
                <w:p w14:paraId="6EDB3F75" w14:textId="77777777" w:rsidR="00464128" w:rsidRPr="00464128" w:rsidRDefault="00464128" w:rsidP="00464128">
                  <w:pPr>
                    <w:rPr>
                      <w:szCs w:val="24"/>
                      <w:lang w:eastAsia="lt-LT"/>
                    </w:rPr>
                  </w:pPr>
                </w:p>
              </w:tc>
            </w:tr>
            <w:tr w:rsidR="00464128" w:rsidRPr="00464128" w14:paraId="2E231807" w14:textId="77777777" w:rsidTr="00464128">
              <w:tc>
                <w:tcPr>
                  <w:tcW w:w="2741" w:type="dxa"/>
                  <w:tcBorders>
                    <w:top w:val="single" w:sz="4" w:space="0" w:color="auto"/>
                    <w:left w:val="single" w:sz="4" w:space="0" w:color="auto"/>
                    <w:bottom w:val="single" w:sz="4" w:space="0" w:color="auto"/>
                    <w:right w:val="single" w:sz="4" w:space="0" w:color="auto"/>
                  </w:tcBorders>
                  <w:vAlign w:val="center"/>
                  <w:hideMark/>
                </w:tcPr>
                <w:p w14:paraId="6408C817" w14:textId="77777777" w:rsidR="00464128" w:rsidRPr="00464128" w:rsidRDefault="00464128" w:rsidP="00464128">
                  <w:pPr>
                    <w:rPr>
                      <w:szCs w:val="24"/>
                      <w:lang w:eastAsia="lt-LT"/>
                    </w:rPr>
                  </w:pPr>
                  <w:r w:rsidRPr="00464128">
                    <w:rPr>
                      <w:color w:val="000000"/>
                      <w:szCs w:val="24"/>
                      <w:lang w:eastAsia="lt-LT"/>
                    </w:rPr>
                    <w:t>Kitos lėšos (parama 1,2 % GM ir kt.)</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FF10D12" w14:textId="77777777" w:rsidR="00464128" w:rsidRPr="00464128" w:rsidRDefault="00464128" w:rsidP="00464128">
                  <w:pPr>
                    <w:rPr>
                      <w:szCs w:val="24"/>
                      <w:lang w:eastAsia="lt-LT"/>
                    </w:rPr>
                  </w:pPr>
                  <w:r w:rsidRPr="00464128">
                    <w:rPr>
                      <w:szCs w:val="24"/>
                      <w:lang w:eastAsia="lt-LT"/>
                    </w:rPr>
                    <w:t>0.2</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D8F48E7" w14:textId="77777777" w:rsidR="00464128" w:rsidRPr="00464128" w:rsidRDefault="00464128" w:rsidP="00464128">
                  <w:pPr>
                    <w:rPr>
                      <w:szCs w:val="24"/>
                      <w:lang w:eastAsia="lt-LT"/>
                    </w:rPr>
                  </w:pPr>
                  <w:r w:rsidRPr="00464128">
                    <w:rPr>
                      <w:szCs w:val="24"/>
                      <w:lang w:eastAsia="lt-LT"/>
                    </w:rPr>
                    <w:t>0.2</w:t>
                  </w:r>
                </w:p>
              </w:tc>
              <w:tc>
                <w:tcPr>
                  <w:tcW w:w="1283" w:type="dxa"/>
                  <w:tcBorders>
                    <w:top w:val="single" w:sz="4" w:space="0" w:color="auto"/>
                    <w:left w:val="single" w:sz="4" w:space="0" w:color="auto"/>
                    <w:bottom w:val="single" w:sz="4" w:space="0" w:color="auto"/>
                    <w:right w:val="single" w:sz="4" w:space="0" w:color="auto"/>
                  </w:tcBorders>
                  <w:vAlign w:val="center"/>
                  <w:hideMark/>
                </w:tcPr>
                <w:p w14:paraId="1CEC85D6" w14:textId="77777777" w:rsidR="00464128" w:rsidRPr="00464128" w:rsidRDefault="00464128" w:rsidP="00464128">
                  <w:pPr>
                    <w:rPr>
                      <w:szCs w:val="24"/>
                      <w:lang w:eastAsia="lt-LT"/>
                    </w:rPr>
                  </w:pPr>
                  <w:r w:rsidRPr="00464128">
                    <w:rPr>
                      <w:szCs w:val="24"/>
                      <w:lang w:eastAsia="lt-LT"/>
                    </w:rPr>
                    <w:t>100</w:t>
                  </w:r>
                </w:p>
              </w:tc>
              <w:tc>
                <w:tcPr>
                  <w:tcW w:w="2084" w:type="dxa"/>
                  <w:tcBorders>
                    <w:top w:val="single" w:sz="4" w:space="0" w:color="auto"/>
                    <w:left w:val="single" w:sz="4" w:space="0" w:color="auto"/>
                    <w:bottom w:val="single" w:sz="4" w:space="0" w:color="auto"/>
                    <w:right w:val="single" w:sz="4" w:space="0" w:color="auto"/>
                  </w:tcBorders>
                  <w:vAlign w:val="center"/>
                </w:tcPr>
                <w:p w14:paraId="38D713E5" w14:textId="77777777" w:rsidR="00464128" w:rsidRPr="00464128" w:rsidRDefault="00464128" w:rsidP="00464128">
                  <w:pPr>
                    <w:rPr>
                      <w:szCs w:val="24"/>
                      <w:lang w:eastAsia="lt-LT"/>
                    </w:rPr>
                  </w:pPr>
                </w:p>
              </w:tc>
            </w:tr>
            <w:tr w:rsidR="00464128" w:rsidRPr="00464128" w14:paraId="608A5788" w14:textId="77777777" w:rsidTr="00464128">
              <w:tc>
                <w:tcPr>
                  <w:tcW w:w="2741" w:type="dxa"/>
                  <w:tcBorders>
                    <w:top w:val="single" w:sz="4" w:space="0" w:color="auto"/>
                    <w:left w:val="single" w:sz="4" w:space="0" w:color="auto"/>
                    <w:bottom w:val="single" w:sz="4" w:space="0" w:color="auto"/>
                    <w:right w:val="single" w:sz="4" w:space="0" w:color="auto"/>
                  </w:tcBorders>
                  <w:vAlign w:val="center"/>
                  <w:hideMark/>
                </w:tcPr>
                <w:p w14:paraId="135D843C" w14:textId="77777777" w:rsidR="00464128" w:rsidRPr="00464128" w:rsidRDefault="00464128" w:rsidP="00464128">
                  <w:pPr>
                    <w:rPr>
                      <w:szCs w:val="24"/>
                      <w:lang w:eastAsia="lt-LT"/>
                    </w:rPr>
                  </w:pPr>
                  <w:r w:rsidRPr="00464128">
                    <w:rPr>
                      <w:color w:val="000000"/>
                      <w:szCs w:val="24"/>
                      <w:lang w:eastAsia="lt-LT"/>
                    </w:rPr>
                    <w:t xml:space="preserve">Iš viso </w:t>
                  </w:r>
                </w:p>
              </w:tc>
              <w:tc>
                <w:tcPr>
                  <w:tcW w:w="1746" w:type="dxa"/>
                  <w:tcBorders>
                    <w:top w:val="single" w:sz="4" w:space="0" w:color="auto"/>
                    <w:left w:val="single" w:sz="4" w:space="0" w:color="auto"/>
                    <w:bottom w:val="single" w:sz="4" w:space="0" w:color="auto"/>
                    <w:right w:val="single" w:sz="4" w:space="0" w:color="auto"/>
                  </w:tcBorders>
                  <w:vAlign w:val="center"/>
                  <w:hideMark/>
                </w:tcPr>
                <w:p w14:paraId="05A6B469" w14:textId="77777777" w:rsidR="00464128" w:rsidRPr="00464128" w:rsidRDefault="00464128" w:rsidP="00464128">
                  <w:pPr>
                    <w:rPr>
                      <w:szCs w:val="24"/>
                      <w:lang w:eastAsia="lt-LT"/>
                    </w:rPr>
                  </w:pPr>
                  <w:r w:rsidRPr="00464128">
                    <w:rPr>
                      <w:szCs w:val="24"/>
                      <w:lang w:eastAsia="lt-LT"/>
                    </w:rPr>
                    <w:t>663.7</w:t>
                  </w:r>
                </w:p>
              </w:tc>
              <w:tc>
                <w:tcPr>
                  <w:tcW w:w="1774" w:type="dxa"/>
                  <w:tcBorders>
                    <w:top w:val="single" w:sz="4" w:space="0" w:color="auto"/>
                    <w:left w:val="single" w:sz="4" w:space="0" w:color="auto"/>
                    <w:bottom w:val="single" w:sz="4" w:space="0" w:color="auto"/>
                    <w:right w:val="single" w:sz="4" w:space="0" w:color="auto"/>
                  </w:tcBorders>
                  <w:vAlign w:val="center"/>
                  <w:hideMark/>
                </w:tcPr>
                <w:p w14:paraId="6763E5FA" w14:textId="77777777" w:rsidR="00464128" w:rsidRPr="00464128" w:rsidRDefault="00464128" w:rsidP="00464128">
                  <w:pPr>
                    <w:rPr>
                      <w:szCs w:val="24"/>
                      <w:lang w:eastAsia="lt-LT"/>
                    </w:rPr>
                  </w:pPr>
                  <w:r w:rsidRPr="00464128">
                    <w:rPr>
                      <w:szCs w:val="24"/>
                      <w:lang w:eastAsia="lt-LT"/>
                    </w:rPr>
                    <w:t>634,8</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E7A8CBF" w14:textId="77777777" w:rsidR="00464128" w:rsidRPr="00464128" w:rsidRDefault="00464128" w:rsidP="00464128">
                  <w:pPr>
                    <w:rPr>
                      <w:szCs w:val="24"/>
                      <w:lang w:eastAsia="lt-LT"/>
                    </w:rPr>
                  </w:pPr>
                  <w:r w:rsidRPr="00464128">
                    <w:rPr>
                      <w:szCs w:val="24"/>
                      <w:lang w:eastAsia="lt-LT"/>
                    </w:rPr>
                    <w:t>96</w:t>
                  </w:r>
                </w:p>
              </w:tc>
              <w:tc>
                <w:tcPr>
                  <w:tcW w:w="0" w:type="auto"/>
                  <w:tcBorders>
                    <w:top w:val="single" w:sz="6" w:space="0" w:color="auto"/>
                    <w:left w:val="single" w:sz="6" w:space="0" w:color="auto"/>
                    <w:bottom w:val="single" w:sz="6" w:space="0" w:color="auto"/>
                    <w:right w:val="single" w:sz="6" w:space="0" w:color="auto"/>
                  </w:tcBorders>
                  <w:vAlign w:val="center"/>
                </w:tcPr>
                <w:p w14:paraId="3E766EED" w14:textId="77777777" w:rsidR="00464128" w:rsidRPr="00464128" w:rsidRDefault="00464128" w:rsidP="00464128">
                  <w:pPr>
                    <w:rPr>
                      <w:sz w:val="20"/>
                      <w:lang w:eastAsia="lt-LT"/>
                    </w:rPr>
                  </w:pPr>
                </w:p>
              </w:tc>
            </w:tr>
            <w:tr w:rsidR="00464128" w:rsidRPr="00464128" w14:paraId="6D1C4218" w14:textId="77777777" w:rsidTr="00464128">
              <w:tc>
                <w:tcPr>
                  <w:tcW w:w="2741" w:type="dxa"/>
                  <w:tcBorders>
                    <w:top w:val="single" w:sz="4" w:space="0" w:color="auto"/>
                    <w:left w:val="single" w:sz="4" w:space="0" w:color="auto"/>
                    <w:bottom w:val="single" w:sz="4" w:space="0" w:color="auto"/>
                    <w:right w:val="single" w:sz="4" w:space="0" w:color="auto"/>
                  </w:tcBorders>
                  <w:vAlign w:val="center"/>
                  <w:hideMark/>
                </w:tcPr>
                <w:p w14:paraId="364CE9A7" w14:textId="77777777" w:rsidR="00464128" w:rsidRPr="00464128" w:rsidRDefault="00464128" w:rsidP="00464128">
                  <w:pPr>
                    <w:rPr>
                      <w:szCs w:val="24"/>
                      <w:lang w:eastAsia="lt-LT"/>
                    </w:rPr>
                  </w:pPr>
                  <w:r w:rsidRPr="00464128">
                    <w:rPr>
                      <w:color w:val="000000"/>
                      <w:szCs w:val="24"/>
                      <w:lang w:eastAsia="lt-LT"/>
                    </w:rPr>
                    <w:t>Kreditinio įsiskolinimo (pagal visus finansavimo šaltinius) 2023 m. sausio 1 d. nebuvo</w:t>
                  </w:r>
                </w:p>
              </w:tc>
              <w:tc>
                <w:tcPr>
                  <w:tcW w:w="0" w:type="auto"/>
                  <w:tcBorders>
                    <w:top w:val="single" w:sz="6" w:space="0" w:color="auto"/>
                    <w:left w:val="single" w:sz="6" w:space="0" w:color="auto"/>
                    <w:bottom w:val="single" w:sz="6" w:space="0" w:color="auto"/>
                    <w:right w:val="single" w:sz="6" w:space="0" w:color="auto"/>
                  </w:tcBorders>
                  <w:vAlign w:val="center"/>
                </w:tcPr>
                <w:p w14:paraId="3FAC7F10" w14:textId="77777777" w:rsidR="00464128" w:rsidRPr="00464128" w:rsidRDefault="00464128" w:rsidP="00464128">
                  <w:pPr>
                    <w:rPr>
                      <w:sz w:val="20"/>
                      <w:lang w:eastAsia="lt-LT"/>
                    </w:rPr>
                  </w:pPr>
                </w:p>
              </w:tc>
              <w:tc>
                <w:tcPr>
                  <w:tcW w:w="0" w:type="auto"/>
                  <w:tcBorders>
                    <w:top w:val="single" w:sz="6" w:space="0" w:color="auto"/>
                    <w:left w:val="single" w:sz="6" w:space="0" w:color="auto"/>
                    <w:bottom w:val="single" w:sz="6" w:space="0" w:color="auto"/>
                    <w:right w:val="single" w:sz="6" w:space="0" w:color="auto"/>
                  </w:tcBorders>
                  <w:vAlign w:val="center"/>
                </w:tcPr>
                <w:p w14:paraId="57936905" w14:textId="77777777" w:rsidR="00464128" w:rsidRPr="00464128" w:rsidRDefault="00464128" w:rsidP="00464128">
                  <w:pPr>
                    <w:rPr>
                      <w:sz w:val="20"/>
                      <w:lang w:eastAsia="lt-LT"/>
                    </w:rPr>
                  </w:pPr>
                </w:p>
              </w:tc>
              <w:tc>
                <w:tcPr>
                  <w:tcW w:w="0" w:type="auto"/>
                  <w:tcBorders>
                    <w:top w:val="single" w:sz="6" w:space="0" w:color="auto"/>
                    <w:left w:val="single" w:sz="6" w:space="0" w:color="auto"/>
                    <w:bottom w:val="single" w:sz="6" w:space="0" w:color="auto"/>
                    <w:right w:val="single" w:sz="6" w:space="0" w:color="auto"/>
                  </w:tcBorders>
                  <w:vAlign w:val="center"/>
                </w:tcPr>
                <w:p w14:paraId="4D30C759" w14:textId="77777777" w:rsidR="00464128" w:rsidRPr="00464128" w:rsidRDefault="00464128" w:rsidP="00464128">
                  <w:pPr>
                    <w:rPr>
                      <w:sz w:val="20"/>
                      <w:lang w:eastAsia="lt-LT"/>
                    </w:rPr>
                  </w:pPr>
                </w:p>
              </w:tc>
              <w:tc>
                <w:tcPr>
                  <w:tcW w:w="0" w:type="auto"/>
                  <w:tcBorders>
                    <w:top w:val="single" w:sz="6" w:space="0" w:color="auto"/>
                    <w:left w:val="single" w:sz="6" w:space="0" w:color="auto"/>
                    <w:bottom w:val="single" w:sz="6" w:space="0" w:color="auto"/>
                    <w:right w:val="single" w:sz="6" w:space="0" w:color="auto"/>
                  </w:tcBorders>
                  <w:vAlign w:val="center"/>
                </w:tcPr>
                <w:p w14:paraId="635C75B3" w14:textId="77777777" w:rsidR="00464128" w:rsidRPr="00464128" w:rsidRDefault="00464128" w:rsidP="00464128">
                  <w:pPr>
                    <w:rPr>
                      <w:sz w:val="20"/>
                      <w:lang w:eastAsia="lt-LT"/>
                    </w:rPr>
                  </w:pPr>
                </w:p>
              </w:tc>
            </w:tr>
          </w:tbl>
          <w:p w14:paraId="70208C66" w14:textId="77777777" w:rsidR="00D46C7B" w:rsidRDefault="00D46C7B" w:rsidP="00D46C7B">
            <w:r>
              <w:tab/>
            </w:r>
            <w:r>
              <w:tab/>
            </w:r>
            <w:r>
              <w:tab/>
            </w:r>
          </w:p>
          <w:p w14:paraId="2BB724A9" w14:textId="77777777" w:rsidR="00D46C7B" w:rsidRDefault="00D46C7B" w:rsidP="00D46C7B"/>
          <w:p w14:paraId="2C0627C2" w14:textId="77777777" w:rsidR="00AE221A" w:rsidRDefault="00AE221A" w:rsidP="00D46C7B"/>
        </w:tc>
      </w:tr>
    </w:tbl>
    <w:p w14:paraId="67266E28" w14:textId="77777777" w:rsidR="00AE221A" w:rsidRDefault="00AE221A"/>
    <w:p w14:paraId="485CDCD5" w14:textId="77777777" w:rsidR="00AE221A" w:rsidRPr="00861947" w:rsidRDefault="00AE221A" w:rsidP="00AE221A">
      <w:pPr>
        <w:contextualSpacing/>
        <w:jc w:val="center"/>
        <w:rPr>
          <w:b/>
          <w:color w:val="000000" w:themeColor="text1"/>
          <w:szCs w:val="24"/>
          <w:lang w:eastAsia="lt-LT"/>
        </w:rPr>
      </w:pPr>
    </w:p>
    <w:p w14:paraId="2D90C23A" w14:textId="77777777" w:rsidR="00AE221A" w:rsidRPr="00861947" w:rsidRDefault="00AE221A" w:rsidP="00AE221A">
      <w:pPr>
        <w:contextualSpacing/>
        <w:jc w:val="center"/>
        <w:rPr>
          <w:b/>
          <w:color w:val="000000" w:themeColor="text1"/>
          <w:szCs w:val="24"/>
          <w:lang w:eastAsia="lt-LT"/>
        </w:rPr>
      </w:pPr>
    </w:p>
    <w:p w14:paraId="257805A9" w14:textId="77777777" w:rsidR="00AE221A" w:rsidRPr="00861947" w:rsidRDefault="00AE221A" w:rsidP="00AE221A">
      <w:pPr>
        <w:contextualSpacing/>
        <w:jc w:val="center"/>
        <w:rPr>
          <w:b/>
          <w:color w:val="000000" w:themeColor="text1"/>
          <w:szCs w:val="24"/>
          <w:lang w:eastAsia="lt-LT"/>
        </w:rPr>
      </w:pPr>
    </w:p>
    <w:p w14:paraId="087DEF07" w14:textId="77777777" w:rsidR="00AE221A" w:rsidRPr="00861947" w:rsidRDefault="00AE221A" w:rsidP="00AE221A">
      <w:pPr>
        <w:contextualSpacing/>
        <w:rPr>
          <w:b/>
          <w:color w:val="000000" w:themeColor="text1"/>
          <w:szCs w:val="24"/>
          <w:lang w:eastAsia="lt-LT"/>
        </w:rPr>
      </w:pPr>
      <w:r>
        <w:rPr>
          <w:color w:val="000000" w:themeColor="text1"/>
          <w:szCs w:val="24"/>
          <w:lang w:eastAsia="lt-LT"/>
        </w:rPr>
        <w:t>Laikinai einantis m</w:t>
      </w:r>
      <w:r w:rsidRPr="00861947">
        <w:rPr>
          <w:color w:val="000000" w:themeColor="text1"/>
          <w:szCs w:val="24"/>
          <w:lang w:eastAsia="lt-LT"/>
        </w:rPr>
        <w:t>okyklos direktor</w:t>
      </w:r>
      <w:r>
        <w:rPr>
          <w:color w:val="000000" w:themeColor="text1"/>
          <w:szCs w:val="24"/>
          <w:lang w:eastAsia="lt-LT"/>
        </w:rPr>
        <w:t>iaus pareigas</w:t>
      </w:r>
      <w:r w:rsidRPr="00861947">
        <w:rPr>
          <w:color w:val="000000" w:themeColor="text1"/>
          <w:szCs w:val="24"/>
          <w:lang w:eastAsia="lt-LT"/>
        </w:rPr>
        <w:tab/>
      </w:r>
      <w:r w:rsidRPr="00861947">
        <w:rPr>
          <w:color w:val="000000" w:themeColor="text1"/>
          <w:szCs w:val="24"/>
          <w:lang w:eastAsia="lt-LT"/>
        </w:rPr>
        <w:tab/>
      </w:r>
      <w:r>
        <w:rPr>
          <w:color w:val="000000" w:themeColor="text1"/>
          <w:szCs w:val="24"/>
          <w:lang w:eastAsia="lt-LT"/>
        </w:rPr>
        <w:t xml:space="preserve">Zigmas </w:t>
      </w:r>
      <w:proofErr w:type="spellStart"/>
      <w:r>
        <w:rPr>
          <w:color w:val="000000" w:themeColor="text1"/>
          <w:szCs w:val="24"/>
          <w:lang w:eastAsia="lt-LT"/>
        </w:rPr>
        <w:t>Kačinauskas</w:t>
      </w:r>
      <w:proofErr w:type="spellEnd"/>
    </w:p>
    <w:p w14:paraId="62478FB8" w14:textId="77777777" w:rsidR="00AE221A" w:rsidRDefault="00AE221A"/>
    <w:p w14:paraId="6E617E2D" w14:textId="77777777" w:rsidR="00AE221A" w:rsidRDefault="00AE221A"/>
    <w:p w14:paraId="2D32799D" w14:textId="77777777" w:rsidR="00AE221A" w:rsidRDefault="00AE221A"/>
    <w:sectPr w:rsidR="00AE221A" w:rsidSect="00CF137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1A"/>
    <w:rsid w:val="00075F8D"/>
    <w:rsid w:val="00091EA9"/>
    <w:rsid w:val="000A392C"/>
    <w:rsid w:val="00214330"/>
    <w:rsid w:val="002435C9"/>
    <w:rsid w:val="002F35CA"/>
    <w:rsid w:val="003140FC"/>
    <w:rsid w:val="003367C4"/>
    <w:rsid w:val="00365C0B"/>
    <w:rsid w:val="003D6256"/>
    <w:rsid w:val="00435310"/>
    <w:rsid w:val="00464128"/>
    <w:rsid w:val="005060FD"/>
    <w:rsid w:val="00785EDD"/>
    <w:rsid w:val="007D7959"/>
    <w:rsid w:val="00880BCD"/>
    <w:rsid w:val="008F49EF"/>
    <w:rsid w:val="0096687B"/>
    <w:rsid w:val="00A13CF6"/>
    <w:rsid w:val="00A40D82"/>
    <w:rsid w:val="00AD0683"/>
    <w:rsid w:val="00AD1A4B"/>
    <w:rsid w:val="00AE221A"/>
    <w:rsid w:val="00B7342B"/>
    <w:rsid w:val="00C3197A"/>
    <w:rsid w:val="00C5116A"/>
    <w:rsid w:val="00C600AE"/>
    <w:rsid w:val="00CA6091"/>
    <w:rsid w:val="00CF1376"/>
    <w:rsid w:val="00D25109"/>
    <w:rsid w:val="00D46C7B"/>
    <w:rsid w:val="00D90701"/>
    <w:rsid w:val="00DB62F6"/>
    <w:rsid w:val="00DC4DFF"/>
    <w:rsid w:val="00E16FB5"/>
    <w:rsid w:val="00E82413"/>
    <w:rsid w:val="00EF4401"/>
    <w:rsid w:val="00F06C5A"/>
    <w:rsid w:val="00F73E56"/>
    <w:rsid w:val="00FB31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221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E2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AE221A"/>
    <w:pPr>
      <w:spacing w:after="0" w:line="240" w:lineRule="auto"/>
    </w:pPr>
    <w:rPr>
      <w:rFonts w:ascii="Times New Roman" w:hAnsi="Times New Roman"/>
      <w:sz w:val="24"/>
    </w:rPr>
  </w:style>
  <w:style w:type="character" w:styleId="Hipersaitas">
    <w:name w:val="Hyperlink"/>
    <w:basedOn w:val="Numatytasispastraiposriftas"/>
    <w:rsid w:val="00AE22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E221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E2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AE221A"/>
    <w:pPr>
      <w:spacing w:after="0" w:line="240" w:lineRule="auto"/>
    </w:pPr>
    <w:rPr>
      <w:rFonts w:ascii="Times New Roman" w:hAnsi="Times New Roman"/>
      <w:sz w:val="24"/>
    </w:rPr>
  </w:style>
  <w:style w:type="character" w:styleId="Hipersaitas">
    <w:name w:val="Hyperlink"/>
    <w:basedOn w:val="Numatytasispastraiposriftas"/>
    <w:rsid w:val="00AE2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8079</Words>
  <Characters>4606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2</cp:revision>
  <dcterms:created xsi:type="dcterms:W3CDTF">2024-01-23T11:19:00Z</dcterms:created>
  <dcterms:modified xsi:type="dcterms:W3CDTF">2024-01-23T11:19:00Z</dcterms:modified>
</cp:coreProperties>
</file>