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12" w:rsidRDefault="002C0C23" w:rsidP="00421C21">
      <w:pPr>
        <w:spacing w:line="360" w:lineRule="auto"/>
        <w:jc w:val="center"/>
        <w:rPr>
          <w:b/>
        </w:rPr>
      </w:pPr>
      <w:r w:rsidRPr="002C0C23">
        <w:rPr>
          <w:b/>
        </w:rPr>
        <w:t xml:space="preserve">RADVILIŠKIO </w:t>
      </w:r>
      <w:r w:rsidR="00B57521">
        <w:rPr>
          <w:b/>
        </w:rPr>
        <w:t xml:space="preserve">R. POCIŪNĖLIŲ PAGRINDINĖS MOKYKLOS </w:t>
      </w:r>
    </w:p>
    <w:p w:rsidR="002C0C23" w:rsidRDefault="00072F2B" w:rsidP="00421C21">
      <w:pPr>
        <w:spacing w:line="360" w:lineRule="auto"/>
        <w:jc w:val="center"/>
        <w:rPr>
          <w:b/>
        </w:rPr>
      </w:pPr>
      <w:r>
        <w:rPr>
          <w:b/>
        </w:rPr>
        <w:t>2023</w:t>
      </w:r>
      <w:r w:rsidR="006F2508">
        <w:rPr>
          <w:b/>
        </w:rPr>
        <w:t xml:space="preserve"> </w:t>
      </w:r>
      <w:r w:rsidR="002C0C23">
        <w:rPr>
          <w:b/>
        </w:rPr>
        <w:t>METŲ VEIKLOS ATASK</w:t>
      </w:r>
      <w:r w:rsidR="002C0C23" w:rsidRPr="002C0C23">
        <w:rPr>
          <w:b/>
        </w:rPr>
        <w:t>AITA</w:t>
      </w:r>
    </w:p>
    <w:p w:rsidR="00B57521" w:rsidRDefault="00B57521" w:rsidP="00E72C0B">
      <w:pPr>
        <w:jc w:val="both"/>
        <w:rPr>
          <w:b/>
        </w:rPr>
      </w:pPr>
    </w:p>
    <w:p w:rsidR="006A1C64" w:rsidRDefault="007220E3" w:rsidP="006A1C64">
      <w:pPr>
        <w:tabs>
          <w:tab w:val="left" w:pos="426"/>
        </w:tabs>
        <w:ind w:firstLine="709"/>
        <w:jc w:val="both"/>
        <w:rPr>
          <w:color w:val="000000" w:themeColor="text1"/>
        </w:rPr>
      </w:pPr>
      <w:r>
        <w:rPr>
          <w:color w:val="000000" w:themeColor="text1"/>
        </w:rPr>
        <w:t>Pociūnėlių pagrindinė mokykla (toliau – Mokykla</w:t>
      </w:r>
      <w:r w:rsidRPr="007220E3">
        <w:rPr>
          <w:color w:val="000000" w:themeColor="text1"/>
        </w:rPr>
        <w:t>) įgyvendina ikimokyklinio, priešmokyklinio,</w:t>
      </w:r>
      <w:r w:rsidR="00F31A25">
        <w:rPr>
          <w:color w:val="000000" w:themeColor="text1"/>
        </w:rPr>
        <w:t xml:space="preserve"> </w:t>
      </w:r>
      <w:r w:rsidRPr="007220E3">
        <w:rPr>
          <w:color w:val="000000" w:themeColor="text1"/>
        </w:rPr>
        <w:t>pradinio ugdymo, individualizuotos pradinio ugdymo, pagrindinio ugdymo, individualizuotos</w:t>
      </w:r>
      <w:r w:rsidR="00F31A25">
        <w:rPr>
          <w:color w:val="000000" w:themeColor="text1"/>
        </w:rPr>
        <w:t xml:space="preserve"> </w:t>
      </w:r>
      <w:r w:rsidRPr="007220E3">
        <w:rPr>
          <w:color w:val="000000" w:themeColor="text1"/>
        </w:rPr>
        <w:t>pagrindinio ugdymo ir neformaliojo vaikų švietimo programas.</w:t>
      </w:r>
    </w:p>
    <w:p w:rsidR="006A1C64" w:rsidRPr="00F31A25" w:rsidRDefault="006A1C64" w:rsidP="006A1C64">
      <w:pPr>
        <w:tabs>
          <w:tab w:val="left" w:pos="426"/>
        </w:tabs>
        <w:ind w:firstLine="709"/>
        <w:jc w:val="both"/>
        <w:rPr>
          <w:color w:val="000000" w:themeColor="text1"/>
        </w:rPr>
      </w:pPr>
      <w:r w:rsidRPr="00F31A25">
        <w:rPr>
          <w:color w:val="000000" w:themeColor="text1"/>
        </w:rPr>
        <w:t xml:space="preserve"> 2023 m. rugsėjo 1 d. duomenimis  ugdyti </w:t>
      </w:r>
      <w:r w:rsidR="00F31A25" w:rsidRPr="00F31A25">
        <w:rPr>
          <w:color w:val="000000" w:themeColor="text1"/>
        </w:rPr>
        <w:t>88 vaikai iš jų:</w:t>
      </w:r>
      <w:r w:rsidRPr="00F31A25">
        <w:rPr>
          <w:color w:val="000000" w:themeColor="text1"/>
        </w:rPr>
        <w:t xml:space="preserve"> 2</w:t>
      </w:r>
      <w:r w:rsidR="00F31A25" w:rsidRPr="00F31A25">
        <w:rPr>
          <w:color w:val="000000" w:themeColor="text1"/>
        </w:rPr>
        <w:t>1</w:t>
      </w:r>
      <w:r w:rsidRPr="00F31A25">
        <w:rPr>
          <w:color w:val="000000" w:themeColor="text1"/>
        </w:rPr>
        <w:t xml:space="preserve"> ikimokyklinio</w:t>
      </w:r>
      <w:r w:rsidR="00F31A25" w:rsidRPr="00F31A25">
        <w:rPr>
          <w:color w:val="000000" w:themeColor="text1"/>
        </w:rPr>
        <w:t xml:space="preserve"> amžiaus vaikas, 7-priešmokytklinio, 1-4 klasėse-24, 7-10 klasėse-36.</w:t>
      </w:r>
      <w:r w:rsidRPr="00F31A25">
        <w:rPr>
          <w:color w:val="000000" w:themeColor="text1"/>
        </w:rPr>
        <w:t xml:space="preserve"> Dirbo </w:t>
      </w:r>
      <w:r w:rsidR="00F31A25" w:rsidRPr="00F31A25">
        <w:rPr>
          <w:color w:val="000000" w:themeColor="text1"/>
        </w:rPr>
        <w:t>20</w:t>
      </w:r>
      <w:r w:rsidRPr="00F31A25">
        <w:rPr>
          <w:color w:val="000000" w:themeColor="text1"/>
        </w:rPr>
        <w:t xml:space="preserve"> pedagogai, t.y. </w:t>
      </w:r>
      <w:r w:rsidR="00F31A25" w:rsidRPr="00F31A25">
        <w:rPr>
          <w:color w:val="000000" w:themeColor="text1"/>
        </w:rPr>
        <w:t>15,54</w:t>
      </w:r>
      <w:r w:rsidRPr="00F31A25">
        <w:rPr>
          <w:color w:val="000000" w:themeColor="text1"/>
        </w:rPr>
        <w:t xml:space="preserve"> etato ir </w:t>
      </w:r>
      <w:r w:rsidR="00F31A25" w:rsidRPr="00F31A25">
        <w:rPr>
          <w:color w:val="000000" w:themeColor="text1"/>
        </w:rPr>
        <w:t xml:space="preserve">14 </w:t>
      </w:r>
      <w:r w:rsidRPr="00F31A25">
        <w:rPr>
          <w:color w:val="000000" w:themeColor="text1"/>
        </w:rPr>
        <w:t xml:space="preserve">nepedagoginių darbuotojų, t. y. </w:t>
      </w:r>
      <w:r w:rsidR="00F31A25" w:rsidRPr="00F31A25">
        <w:rPr>
          <w:color w:val="000000" w:themeColor="text1"/>
        </w:rPr>
        <w:t>15,15</w:t>
      </w:r>
      <w:r w:rsidRPr="00F31A25">
        <w:rPr>
          <w:color w:val="000000" w:themeColor="text1"/>
        </w:rPr>
        <w:t xml:space="preserve"> etatai</w:t>
      </w:r>
      <w:r w:rsidR="00F31A25" w:rsidRPr="00F31A25">
        <w:rPr>
          <w:color w:val="000000" w:themeColor="text1"/>
        </w:rPr>
        <w:t>.</w:t>
      </w:r>
    </w:p>
    <w:p w:rsidR="00EF64E2" w:rsidRDefault="007A19CE" w:rsidP="00EF64E2">
      <w:pPr>
        <w:tabs>
          <w:tab w:val="left" w:pos="426"/>
        </w:tabs>
        <w:ind w:firstLine="709"/>
        <w:jc w:val="both"/>
      </w:pPr>
      <w:r>
        <w:t>Mokyklos</w:t>
      </w:r>
      <w:r w:rsidR="00EF64E2">
        <w:t xml:space="preserve"> </w:t>
      </w:r>
      <w:r w:rsidR="006A1C64">
        <w:t xml:space="preserve">veikla vadovavosi </w:t>
      </w:r>
      <w:r w:rsidR="00EF64E2">
        <w:t xml:space="preserve">2021-2023 m. strateginiu planu, pritartu Radviliškio savivaldybės direktoriaus 2021m. vasario 12 d. įsakymu Nr. A-138 (8.14), patvirtintu mokyklos direktoriaus 2021 m. vasario 12 d. įsakymu Nr. VI-14 (1.3), mokyklos vidaus įsivertinimo rodikliais, PUPP, NMPP rezultatų  analize, buvo patvirtintas ugdymo planas 2023-2024 </w:t>
      </w:r>
      <w:proofErr w:type="spellStart"/>
      <w:r w:rsidR="00EF64E2">
        <w:t>m.m</w:t>
      </w:r>
      <w:proofErr w:type="spellEnd"/>
      <w:r w:rsidR="00EF64E2">
        <w:t xml:space="preserve">.  direktoriaus įsakymu 2023 m. rugpjūčio 31 d. Nr.32 (1.3), parengtas su darbo grupe 2023 metams mokyklos metinis veiklos planas, patvirtintas mokyklos direktoriaus 2022 m. gruodžio 30 d. įsakymu Nr. VI-128 (1.3), priežiūros planas, patvirtintas direktoriaus 2022 m. gruodžio 5 d. įsakymu </w:t>
      </w:r>
      <w:proofErr w:type="spellStart"/>
      <w:r w:rsidR="00EF64E2">
        <w:t>Nr.VI-</w:t>
      </w:r>
      <w:proofErr w:type="spellEnd"/>
      <w:r w:rsidR="00EF64E2">
        <w:t xml:space="preserve"> 121 (1.3). Veiklos plane 2023 metais įgyvendinome šiuos tikslus ir uždavinius: 2023 m. mokyklos tikslai ir uždaviniai </w:t>
      </w:r>
      <w:r w:rsidR="004E1AEB">
        <w:t>.</w:t>
      </w:r>
    </w:p>
    <w:p w:rsidR="00EF64E2" w:rsidRDefault="00EF64E2" w:rsidP="00EF64E2">
      <w:pPr>
        <w:tabs>
          <w:tab w:val="left" w:pos="426"/>
        </w:tabs>
        <w:ind w:firstLine="709"/>
        <w:jc w:val="both"/>
      </w:pPr>
      <w:r>
        <w:t>I. Tikslas.</w:t>
      </w:r>
    </w:p>
    <w:p w:rsidR="00EF64E2" w:rsidRDefault="00EF64E2" w:rsidP="00EF64E2">
      <w:pPr>
        <w:tabs>
          <w:tab w:val="left" w:pos="426"/>
        </w:tabs>
        <w:ind w:firstLine="709"/>
        <w:jc w:val="both"/>
      </w:pPr>
      <w:r>
        <w:t xml:space="preserve">Skatinant bendradarbiavimą ir lyderystę siekti mokinių </w:t>
      </w:r>
      <w:proofErr w:type="spellStart"/>
      <w:r>
        <w:t>ugdymo(si</w:t>
      </w:r>
      <w:proofErr w:type="spellEnd"/>
      <w:r>
        <w:t>) pažangos, atsižvelgiant į individualius mokinių poreikius.</w:t>
      </w:r>
    </w:p>
    <w:p w:rsidR="00EF64E2" w:rsidRDefault="00EF64E2" w:rsidP="00EF64E2">
      <w:pPr>
        <w:tabs>
          <w:tab w:val="left" w:pos="426"/>
        </w:tabs>
        <w:ind w:firstLine="709"/>
        <w:jc w:val="both"/>
      </w:pPr>
      <w:r>
        <w:t>II. Tikslas.</w:t>
      </w:r>
    </w:p>
    <w:p w:rsidR="00EF64E2" w:rsidRDefault="00EF64E2" w:rsidP="00EF64E2">
      <w:pPr>
        <w:tabs>
          <w:tab w:val="left" w:pos="426"/>
        </w:tabs>
        <w:ind w:firstLine="709"/>
        <w:jc w:val="both"/>
      </w:pPr>
      <w:r>
        <w:t xml:space="preserve">Kurti modernią fiziškai bei </w:t>
      </w:r>
      <w:proofErr w:type="spellStart"/>
      <w:r>
        <w:t>emociškai</w:t>
      </w:r>
      <w:proofErr w:type="spellEnd"/>
      <w:r>
        <w:t xml:space="preserve"> saugią </w:t>
      </w:r>
      <w:proofErr w:type="spellStart"/>
      <w:r>
        <w:t>ugdymo(si</w:t>
      </w:r>
      <w:proofErr w:type="spellEnd"/>
      <w:r>
        <w:t>) aplinką.</w:t>
      </w:r>
    </w:p>
    <w:p w:rsidR="00EF64E2" w:rsidRDefault="00EF64E2" w:rsidP="00EF64E2">
      <w:pPr>
        <w:tabs>
          <w:tab w:val="left" w:pos="426"/>
        </w:tabs>
        <w:ind w:firstLine="709"/>
        <w:jc w:val="both"/>
      </w:pPr>
      <w:r>
        <w:t xml:space="preserve">Tikslams ir uždaviniams įgyvendinti buvo parengtas ir patvirtintas pedagoginio darbo priežiūros planas. Pirmojo tikslo įgyvendinimui buvo sudaryta daugiau galimybių kiekvienam mokiniui patirti mokymosi sėkmę stiprinant mokymo diferencijavimą, individualizavimą, atsižvelgiant į individualius mokinių ugdymosi poreikius. Taikant skaitmenizuoto mokymo turinį ir IKT buvo gerinama pamokos ir kitų ugdymo formų kokybė. Mokytojai įgijo skaitmeninių mokymo priemonių naudojimo kompetencijų, esant poreikiui, gerėjo pamokų kokybė, kilo mokinių motyvacija, gerėjo mokinių informacinio raštingumo įgūdžiai ir pasiekimų rezultatai, buvo vykdoma tiriamoji ir projektinė veikla. Mokykla iš atrinktų tiekėjų sąrašo pagal savuosius poreikius  užsisakė  visų klasių mokiniams tikslines programas,  atitinkančias tam tikro amžiaus vaikų ir paauglių raidos ypatumus, psichologų paskaitoms, emocinio intelekto mokymams organizuoti . Mokytojai naudojo skaitmenines mokymo priemones, sėkmingai jas taikė ugdymo procese, gerėjo pamokų kokybė, kilo mokinių motyvacija, gerėjo mokinių informacinio raštingumo  įgūdžiai ir pasiekimų rezultatai. Mokykloje teikta kokybiška ir savalaikė pagalba mokiniams, stebėtas ir analizuotas kiekvieno mokinio asmenybės augimas. Antrojo tikslo įgyvendinimui mokyklos aplinkoje ir pamokose tobulintos esamos ir kuriamos naujos edukacinės erdvės. Sukurtos naujos edukacinės erdvės („Kaktusų karalystėje“, ,,Linksmosios pėdutės“ ir kt.) sėkmingai taikytos mokinių ugdymo procese. Vykdant prevencinę veiklą, kuria siekta užtikrinti mokinių saugumą, organizuoti įvairūs renginiai. Jų metu mokiniai įgijo žinių apie psichinę, emocinę sveikatą, sužinojo, kur gali kreiptis, jeigu mokykloje kyla problemų dėl jų saugumo, ugdėsi tolerancijos jausmą. Tikslams ir uždaviniams įgyvendinti buvo organizuota 7 mokytojų tarybos posėdžių.  </w:t>
      </w:r>
    </w:p>
    <w:p w:rsidR="00EF64E2" w:rsidRPr="009B1FCB" w:rsidRDefault="007A19CE" w:rsidP="00EF64E2">
      <w:pPr>
        <w:tabs>
          <w:tab w:val="left" w:pos="426"/>
        </w:tabs>
        <w:ind w:firstLine="709"/>
        <w:jc w:val="both"/>
        <w:rPr>
          <w:color w:val="000000" w:themeColor="text1"/>
        </w:rPr>
      </w:pPr>
      <w:r w:rsidRPr="009B1FCB">
        <w:rPr>
          <w:color w:val="000000" w:themeColor="text1"/>
        </w:rPr>
        <w:t>Mokinių pasiekimai</w:t>
      </w:r>
      <w:r w:rsidR="00EF64E2" w:rsidRPr="009B1FCB">
        <w:rPr>
          <w:color w:val="000000" w:themeColor="text1"/>
        </w:rPr>
        <w:t>.</w:t>
      </w:r>
    </w:p>
    <w:p w:rsidR="00EF64E2" w:rsidRDefault="00EF64E2" w:rsidP="00EF64E2">
      <w:pPr>
        <w:tabs>
          <w:tab w:val="left" w:pos="426"/>
        </w:tabs>
        <w:ind w:firstLine="709"/>
        <w:jc w:val="both"/>
      </w:pPr>
      <w:r>
        <w:t>Mokslo metų pabaigoje 1-10 klasėse mokėsi 6</w:t>
      </w:r>
      <w:r w:rsidR="0018133D">
        <w:t>5</w:t>
      </w:r>
      <w:r>
        <w:t xml:space="preserve"> mokiniai:</w:t>
      </w:r>
    </w:p>
    <w:p w:rsidR="00EF64E2" w:rsidRDefault="00EF64E2" w:rsidP="00EF64E2">
      <w:pPr>
        <w:tabs>
          <w:tab w:val="left" w:pos="426"/>
        </w:tabs>
        <w:ind w:firstLine="709"/>
        <w:jc w:val="both"/>
      </w:pPr>
      <w:r>
        <w:t>1-4 klasėse mokėsi 22 mokiniai.  1-4 klasės mokinių pažangos rezultatai: aukštesniuoju lygiu baigė 0 % mokinių, pagrindiniu lygiu – 45,5 % mokinių, patenkinamu lygiu – 54,5 % aukštesniuoju/pagrindiniu/patenkinamu lygiu – 23,7 %, pagrindiniu – 19,23%, pagrindiniu/patenkinamu lygiu – 19,23 %, nepatenkinamu lygiu – 3,5 % mokinių).</w:t>
      </w:r>
    </w:p>
    <w:p w:rsidR="00EF64E2" w:rsidRDefault="00EF64E2" w:rsidP="00EF64E2">
      <w:pPr>
        <w:tabs>
          <w:tab w:val="left" w:pos="426"/>
        </w:tabs>
        <w:ind w:firstLine="709"/>
        <w:jc w:val="both"/>
      </w:pPr>
      <w:r>
        <w:lastRenderedPageBreak/>
        <w:t xml:space="preserve">6-10 klasėse mokėsi 43 mokiniai. Mokslo metus 9-10 balais baigė 0 %, 10-6 balais – 14%, 10-4 balais – 86 % mokinių, nepatenkinamų įvertinimų turėjo 0 % </w:t>
      </w:r>
      <w:r w:rsidR="004E1AEB">
        <w:t>mokinių.</w:t>
      </w:r>
      <w:r>
        <w:t xml:space="preserve"> 2022-2023 m. m. mokinių pažymių vidurkis 7,28 (sumažėjo 0,3 %).</w:t>
      </w:r>
    </w:p>
    <w:p w:rsidR="00EF64E2" w:rsidRDefault="00EF64E2" w:rsidP="00EF64E2">
      <w:pPr>
        <w:tabs>
          <w:tab w:val="left" w:pos="426"/>
        </w:tabs>
        <w:ind w:firstLine="709"/>
        <w:jc w:val="both"/>
      </w:pPr>
      <w:r>
        <w:t>Pamokų lankomumas.</w:t>
      </w:r>
    </w:p>
    <w:p w:rsidR="004E1AEB" w:rsidRDefault="00EF64E2" w:rsidP="004E1AEB">
      <w:pPr>
        <w:tabs>
          <w:tab w:val="left" w:pos="426"/>
        </w:tabs>
        <w:ind w:firstLine="709"/>
        <w:jc w:val="both"/>
      </w:pPr>
      <w:r>
        <w:t>Per 2022-2023 m. m. iš viso praleista 3676 pamokos, vienam mokiniui tenka 55,1 pamokos</w:t>
      </w:r>
      <w:r w:rsidR="004E1AEB">
        <w:t>.</w:t>
      </w:r>
    </w:p>
    <w:p w:rsidR="00EF64E2" w:rsidRDefault="00EF64E2" w:rsidP="00EF64E2">
      <w:pPr>
        <w:tabs>
          <w:tab w:val="left" w:pos="426"/>
        </w:tabs>
        <w:ind w:firstLine="709"/>
        <w:jc w:val="both"/>
      </w:pPr>
      <w:r>
        <w:t xml:space="preserve">Lankomumas 2022-2023  m. m., lyginant su praėjusiais mokslo metais, pagerėjo. </w:t>
      </w:r>
    </w:p>
    <w:p w:rsidR="00EF64E2" w:rsidRDefault="00EF64E2" w:rsidP="00EF64E2">
      <w:pPr>
        <w:tabs>
          <w:tab w:val="left" w:pos="426"/>
        </w:tabs>
        <w:ind w:firstLine="709"/>
        <w:jc w:val="both"/>
      </w:pPr>
      <w:r>
        <w:t>Pagrindinio ugdymo pasiekimų patikrinimas (PUPP).</w:t>
      </w:r>
    </w:p>
    <w:p w:rsidR="00EF64E2" w:rsidRDefault="00EF64E2" w:rsidP="00EF64E2">
      <w:pPr>
        <w:tabs>
          <w:tab w:val="left" w:pos="426"/>
        </w:tabs>
        <w:ind w:firstLine="709"/>
        <w:jc w:val="both"/>
      </w:pPr>
      <w:r>
        <w:t xml:space="preserve">PUPP  laikė dešimt 10 klasės mokiniai. Geriausiai sekėsi  lietuvių kalba: 3 mokiniai įvertinti 7 balais, kiti – 6,5,3 balais. Galutinis lietuvių kalbos ir literatūros įvertinimo vidurkis – 5,6 balai. Matematiką laikė 10 mokinių. Iš jų 3 mokiniai įvertinti patenkinamais balais – 6,5,4, kiti mokiniai įvertinti nepatenkinamais balais – 3,2. Vidurkis 3,3 balo. Palyginus I pusmečio ir PUPP rezultatus, prastesni tiek lietuvių kalbos, tiek ir matematikos PUPP rezultatai. </w:t>
      </w:r>
    </w:p>
    <w:p w:rsidR="00EF64E2" w:rsidRDefault="00EF64E2" w:rsidP="00EF64E2">
      <w:pPr>
        <w:tabs>
          <w:tab w:val="left" w:pos="426"/>
        </w:tabs>
        <w:ind w:firstLine="709"/>
        <w:jc w:val="both"/>
      </w:pPr>
      <w:r>
        <w:t xml:space="preserve">Nacionalinio mokinių pasiekimo patikrinimo (NMPP) rezultatai. </w:t>
      </w:r>
    </w:p>
    <w:p w:rsidR="00EF64E2" w:rsidRDefault="00EF64E2" w:rsidP="00EF64E2">
      <w:pPr>
        <w:tabs>
          <w:tab w:val="left" w:pos="426"/>
        </w:tabs>
        <w:ind w:firstLine="709"/>
        <w:jc w:val="both"/>
      </w:pPr>
      <w:r>
        <w:t>2023 m. NMPP dalyvavo 4 ketvirtos klasės mokiniai.</w:t>
      </w:r>
    </w:p>
    <w:p w:rsidR="00EF64E2" w:rsidRDefault="00EF64E2" w:rsidP="00EF64E2">
      <w:pPr>
        <w:tabs>
          <w:tab w:val="left" w:pos="426"/>
        </w:tabs>
        <w:ind w:firstLine="709"/>
        <w:jc w:val="both"/>
      </w:pPr>
      <w:r>
        <w:t>4 klasės mokinių rezultatai: matematikos  patikrinimą atliko 3 mokiniai, skaitymo – 4. Pradinių klasių mokytojoms reikėtų skirti daugiau dėmesio mokinių skaitymui ir aukštesniųjų mąstymo gebėjimų lavinimui.</w:t>
      </w:r>
    </w:p>
    <w:p w:rsidR="00EF64E2" w:rsidRDefault="00EF64E2" w:rsidP="00EF64E2">
      <w:pPr>
        <w:tabs>
          <w:tab w:val="left" w:pos="426"/>
        </w:tabs>
        <w:ind w:firstLine="709"/>
        <w:jc w:val="both"/>
      </w:pPr>
      <w:r>
        <w:t>2023 m. m. NMPP dalyvavo 7 aštuntos klasės mokiniai.</w:t>
      </w:r>
      <w:r w:rsidR="004E1AEB">
        <w:t xml:space="preserve"> </w:t>
      </w:r>
    </w:p>
    <w:p w:rsidR="00EF64E2" w:rsidRDefault="00B50982" w:rsidP="00EF64E2">
      <w:pPr>
        <w:tabs>
          <w:tab w:val="left" w:pos="426"/>
        </w:tabs>
        <w:ind w:firstLine="709"/>
        <w:jc w:val="both"/>
      </w:pPr>
      <w:r>
        <w:t>Mokiniai dalyvavo</w:t>
      </w:r>
      <w:r w:rsidRPr="00B50982">
        <w:t xml:space="preserve"> </w:t>
      </w:r>
      <w:r>
        <w:t>r</w:t>
      </w:r>
      <w:r w:rsidRPr="00B50982">
        <w:t>ajoninės</w:t>
      </w:r>
      <w:r>
        <w:t>e</w:t>
      </w:r>
      <w:r w:rsidRPr="00B50982">
        <w:t xml:space="preserve"> 3x3 krepšinio varžybos</w:t>
      </w:r>
      <w:r>
        <w:t>e, z</w:t>
      </w:r>
      <w:r w:rsidRPr="00B50982">
        <w:t>oninės</w:t>
      </w:r>
      <w:r>
        <w:t>e</w:t>
      </w:r>
      <w:r w:rsidRPr="00B50982">
        <w:t xml:space="preserve"> 3x3 krepšinio varžybos</w:t>
      </w:r>
      <w:r>
        <w:t xml:space="preserve">e, </w:t>
      </w:r>
      <w:r w:rsidR="006F67C8">
        <w:t>rajoniniame</w:t>
      </w:r>
      <w:r w:rsidRPr="00B50982">
        <w:t xml:space="preserve"> rašinių konkur</w:t>
      </w:r>
      <w:r w:rsidR="006F67C8">
        <w:t>se ,</w:t>
      </w:r>
      <w:r w:rsidRPr="00B50982">
        <w:t>,,Žodis Istorijai“</w:t>
      </w:r>
      <w:r w:rsidR="006F67C8">
        <w:t>,</w:t>
      </w:r>
      <w:r w:rsidR="006F67C8" w:rsidRPr="006F67C8">
        <w:t xml:space="preserve"> Tarptautinės ,,</w:t>
      </w:r>
      <w:proofErr w:type="spellStart"/>
      <w:r w:rsidR="006F67C8" w:rsidRPr="006F67C8">
        <w:t>Kings</w:t>
      </w:r>
      <w:proofErr w:type="spellEnd"/>
      <w:r w:rsidR="006F67C8" w:rsidRPr="006F67C8">
        <w:t>“ lietuvių kalbos</w:t>
      </w:r>
      <w:r w:rsidR="006F67C8">
        <w:t>, anglų kalbos, matematikos</w:t>
      </w:r>
      <w:r w:rsidR="006F67C8" w:rsidRPr="006F67C8">
        <w:t xml:space="preserve"> olimpiados kvalifikacinis etapas (Pavasario semestras</w:t>
      </w:r>
      <w:r w:rsidR="006F67C8">
        <w:t xml:space="preserve"> )</w:t>
      </w:r>
      <w:r w:rsidR="006F67C8" w:rsidRPr="006F67C8">
        <w:t xml:space="preserve"> </w:t>
      </w:r>
      <w:r w:rsidR="006F67C8">
        <w:t>,respublikiniame kūrybinių darbų konkurse</w:t>
      </w:r>
      <w:r w:rsidR="006F67C8" w:rsidRPr="006F67C8">
        <w:t xml:space="preserve"> „Širdelėje laisva Lietuva“</w:t>
      </w:r>
      <w:r w:rsidR="006F67C8">
        <w:t>,</w:t>
      </w:r>
      <w:r w:rsidR="006F67C8" w:rsidRPr="006F67C8">
        <w:t xml:space="preserve"> </w:t>
      </w:r>
      <w:r w:rsidR="006F67C8">
        <w:t>respublikiniame kūrybinių darbų konkurse</w:t>
      </w:r>
      <w:r w:rsidR="006F67C8" w:rsidRPr="006F67C8">
        <w:t xml:space="preserve"> „Širdelėje laisva Lietuva“</w:t>
      </w:r>
      <w:r w:rsidR="006F67C8">
        <w:t>,</w:t>
      </w:r>
      <w:r w:rsidR="006F67C8" w:rsidRPr="006F67C8">
        <w:t xml:space="preserve"> </w:t>
      </w:r>
      <w:r w:rsidR="006F67C8">
        <w:t>t</w:t>
      </w:r>
      <w:r w:rsidR="006F67C8" w:rsidRPr="006F67C8">
        <w:t>arptautini</w:t>
      </w:r>
      <w:r w:rsidR="006F67C8">
        <w:t>ame</w:t>
      </w:r>
      <w:r w:rsidR="006F67C8" w:rsidRPr="006F67C8">
        <w:t xml:space="preserve"> priešmokyklinio ugdymo grupių ir pradinių klasi</w:t>
      </w:r>
      <w:r w:rsidR="006F67C8">
        <w:t>ų mokinių dailės darbų virtualiame konkurse</w:t>
      </w:r>
      <w:r w:rsidR="006F67C8" w:rsidRPr="006F67C8">
        <w:t xml:space="preserve">  „Lietuvių skaičiuočių pynė 2023“</w:t>
      </w:r>
      <w:r w:rsidR="006F67C8">
        <w:t>,</w:t>
      </w:r>
      <w:r w:rsidR="006F67C8" w:rsidRPr="006F67C8">
        <w:t xml:space="preserve"> ,,Mano svajonių profesija“</w:t>
      </w:r>
    </w:p>
    <w:p w:rsidR="00EF64E2" w:rsidRDefault="00B50982" w:rsidP="00B50982">
      <w:pPr>
        <w:tabs>
          <w:tab w:val="left" w:pos="426"/>
        </w:tabs>
        <w:ind w:firstLine="709"/>
        <w:jc w:val="both"/>
      </w:pPr>
      <w:r w:rsidRPr="00B50982">
        <w:t>2024 m. veikla planuojama pagal parengtą strateginį planą 2024–2026 m.</w:t>
      </w:r>
    </w:p>
    <w:p w:rsidR="009B1FCB" w:rsidRDefault="006A1C64" w:rsidP="006A1C64">
      <w:pPr>
        <w:suppressAutoHyphens/>
        <w:ind w:firstLine="709"/>
        <w:rPr>
          <w:rFonts w:eastAsia="MS Mincho"/>
          <w:color w:val="000000" w:themeColor="text1"/>
          <w:lang w:eastAsia="ar-SA"/>
        </w:rPr>
      </w:pPr>
      <w:r w:rsidRPr="006A1C64">
        <w:rPr>
          <w:rFonts w:eastAsia="MS Mincho"/>
          <w:color w:val="000000" w:themeColor="text1"/>
          <w:lang w:eastAsia="ar-SA"/>
        </w:rPr>
        <w:t>Iš ML įs</w:t>
      </w:r>
      <w:r w:rsidR="0018133D">
        <w:rPr>
          <w:rFonts w:eastAsia="MS Mincho"/>
          <w:color w:val="000000" w:themeColor="text1"/>
          <w:lang w:eastAsia="ar-SA"/>
        </w:rPr>
        <w:t>igytas 1 kompiuteris su priedais, nupirktos 68 EDUKA licencijos mokiniams ir 10 mokytojams -2040,00 eurų. Įsigyti vadovėliai -1448,00 eurus, 18 mokytojų kėlė</w:t>
      </w:r>
      <w:r w:rsidR="0054524F">
        <w:rPr>
          <w:rFonts w:eastAsia="MS Mincho"/>
          <w:color w:val="000000" w:themeColor="text1"/>
          <w:lang w:eastAsia="ar-SA"/>
        </w:rPr>
        <w:t xml:space="preserve"> kvalifikaciją-</w:t>
      </w:r>
      <w:r w:rsidR="00652657">
        <w:rPr>
          <w:rFonts w:eastAsia="MS Mincho"/>
          <w:color w:val="000000" w:themeColor="text1"/>
          <w:lang w:eastAsia="ar-SA"/>
        </w:rPr>
        <w:t>541,00 eurai,</w:t>
      </w:r>
      <w:r w:rsidR="0018133D">
        <w:rPr>
          <w:rFonts w:eastAsia="MS Mincho"/>
          <w:color w:val="000000" w:themeColor="text1"/>
          <w:lang w:eastAsia="ar-SA"/>
        </w:rPr>
        <w:t xml:space="preserve"> </w:t>
      </w:r>
      <w:r w:rsidRPr="006A1C64">
        <w:rPr>
          <w:rFonts w:eastAsia="MS Mincho"/>
          <w:color w:val="000000" w:themeColor="text1"/>
          <w:lang w:eastAsia="ar-SA"/>
        </w:rPr>
        <w:t xml:space="preserve"> </w:t>
      </w:r>
      <w:r w:rsidR="009B1FCB">
        <w:rPr>
          <w:rFonts w:eastAsia="MS Mincho"/>
          <w:color w:val="000000" w:themeColor="text1"/>
          <w:lang w:eastAsia="ar-SA"/>
        </w:rPr>
        <w:t xml:space="preserve">iš savivaldybės biudžeto </w:t>
      </w:r>
      <w:r w:rsidR="0018133D">
        <w:rPr>
          <w:rFonts w:eastAsia="MS Mincho"/>
          <w:color w:val="000000" w:themeColor="text1"/>
          <w:lang w:eastAsia="ar-SA"/>
        </w:rPr>
        <w:t xml:space="preserve">atliktas dalinis 3 klasės ir </w:t>
      </w:r>
      <w:r w:rsidRPr="006A1C64">
        <w:rPr>
          <w:rFonts w:eastAsia="MS Mincho"/>
          <w:color w:val="000000" w:themeColor="text1"/>
          <w:lang w:eastAsia="ar-SA"/>
        </w:rPr>
        <w:t>laiptinės remontas</w:t>
      </w:r>
      <w:r w:rsidR="009B1FCB">
        <w:rPr>
          <w:rFonts w:eastAsia="MS Mincho"/>
          <w:color w:val="000000" w:themeColor="text1"/>
          <w:lang w:eastAsia="ar-SA"/>
        </w:rPr>
        <w:t>.</w:t>
      </w:r>
    </w:p>
    <w:p w:rsidR="009B1FCB" w:rsidRPr="00464128" w:rsidRDefault="009B1FCB" w:rsidP="009B1FCB">
      <w:r w:rsidRPr="00464128">
        <w:rPr>
          <w:color w:val="000000"/>
        </w:rPr>
        <w:t>2023 m. Radviliškio r. Pociūnėlių pagrindinės mokyklos finansinė situacija: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gridCol w:w="1746"/>
        <w:gridCol w:w="1774"/>
        <w:gridCol w:w="1283"/>
        <w:gridCol w:w="2084"/>
      </w:tblGrid>
      <w:tr w:rsidR="009B1FCB" w:rsidRPr="00464128" w:rsidTr="001C539E">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Finansavimo</w:t>
            </w:r>
            <w:r w:rsidRPr="00464128">
              <w:rPr>
                <w:color w:val="000000"/>
              </w:rPr>
              <w:br/>
              <w:t>šaltinis</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pPr>
              <w:spacing w:after="160" w:line="256" w:lineRule="auto"/>
              <w:rPr>
                <w:sz w:val="20"/>
              </w:rPr>
            </w:pPr>
            <w:r w:rsidRPr="00464128">
              <w:rPr>
                <w:color w:val="000000"/>
              </w:rPr>
              <w:t xml:space="preserve">Lėšos (tūkst. </w:t>
            </w:r>
            <w:proofErr w:type="spellStart"/>
            <w:r w:rsidRPr="00464128">
              <w:rPr>
                <w:color w:val="000000"/>
              </w:rPr>
              <w:t>Eur</w:t>
            </w:r>
            <w:proofErr w:type="spellEnd"/>
            <w:r w:rsidRPr="00464128">
              <w:rPr>
                <w:color w:val="000000"/>
              </w:rPr>
              <w:t xml:space="preserve">) </w:t>
            </w:r>
          </w:p>
        </w:tc>
        <w:tc>
          <w:tcPr>
            <w:tcW w:w="2084" w:type="dxa"/>
            <w:vMerge w:val="restart"/>
            <w:tcBorders>
              <w:top w:val="single" w:sz="4" w:space="0" w:color="auto"/>
              <w:left w:val="single" w:sz="4" w:space="0" w:color="auto"/>
              <w:bottom w:val="single" w:sz="4" w:space="0" w:color="auto"/>
              <w:right w:val="single" w:sz="4" w:space="0" w:color="auto"/>
            </w:tcBorders>
            <w:hideMark/>
          </w:tcPr>
          <w:p w:rsidR="009B1FCB" w:rsidRPr="00464128" w:rsidRDefault="009B1FCB" w:rsidP="001C539E">
            <w:pPr>
              <w:spacing w:after="160" w:line="256" w:lineRule="auto"/>
              <w:jc w:val="center"/>
              <w:rPr>
                <w:sz w:val="20"/>
              </w:rPr>
            </w:pPr>
            <w:r w:rsidRPr="00464128">
              <w:rPr>
                <w:color w:val="000000"/>
              </w:rPr>
              <w:t>Pastabos</w:t>
            </w:r>
          </w:p>
        </w:tc>
      </w:tr>
      <w:tr w:rsidR="009B1FCB" w:rsidRPr="00464128" w:rsidTr="001C539E">
        <w:tc>
          <w:tcPr>
            <w:tcW w:w="0" w:type="auto"/>
            <w:vMerge/>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Planas</w:t>
            </w:r>
            <w:r w:rsidRPr="00464128">
              <w:rPr>
                <w:color w:val="000000"/>
              </w:rPr>
              <w:br/>
              <w:t>(patikslintas)</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Panaudota</w:t>
            </w:r>
            <w:r w:rsidRPr="00464128">
              <w:rPr>
                <w:color w:val="000000"/>
              </w:rPr>
              <w:br/>
              <w:t>lėšų</w:t>
            </w:r>
          </w:p>
        </w:tc>
        <w:tc>
          <w:tcPr>
            <w:tcW w:w="1283" w:type="dxa"/>
            <w:tcBorders>
              <w:top w:val="single" w:sz="4" w:space="0" w:color="auto"/>
              <w:left w:val="single" w:sz="4" w:space="0" w:color="auto"/>
              <w:bottom w:val="single" w:sz="4" w:space="0" w:color="auto"/>
              <w:right w:val="single" w:sz="4" w:space="0" w:color="auto"/>
            </w:tcBorders>
            <w:hideMark/>
          </w:tcPr>
          <w:p w:rsidR="009B1FCB" w:rsidRPr="00464128" w:rsidRDefault="009B1FCB" w:rsidP="001C539E">
            <w:pPr>
              <w:spacing w:after="160" w:line="256" w:lineRule="auto"/>
              <w:rPr>
                <w:sz w:val="20"/>
              </w:rPr>
            </w:pPr>
            <w:r w:rsidRPr="00464128">
              <w:rPr>
                <w:color w:val="000000"/>
              </w:rPr>
              <w:t>Įvykdymas</w:t>
            </w:r>
            <w:r w:rsidRPr="00464128">
              <w:rPr>
                <w:color w:val="000000"/>
              </w:rPr>
              <w:b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pPr>
              <w:rPr>
                <w:sz w:val="20"/>
              </w:rPr>
            </w:pPr>
          </w:p>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Savivaldybės biudžetas (SB)</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251.5</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225.7</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89</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Specialioji tikslinė dotacija (VB)</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404.7</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403.1</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99</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 xml:space="preserve">Įstaigos gautos pajamos (surinkta pajamų </w:t>
            </w:r>
            <w:proofErr w:type="spellStart"/>
            <w:r w:rsidRPr="00464128">
              <w:rPr>
                <w:color w:val="000000"/>
              </w:rPr>
              <w:t>SP),iš</w:t>
            </w:r>
            <w:proofErr w:type="spellEnd"/>
            <w:r w:rsidRPr="00464128">
              <w:rPr>
                <w:color w:val="000000"/>
              </w:rPr>
              <w:t xml:space="preserve"> jų:</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7.5</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6.0</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80</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Pajamų išlaidos (SP)</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6.8</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5.2</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76</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Projektų finansavimas (ES; VB;SB)</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0.6</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0.6</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100</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Kitos lėšos (parama 1,2 % GM ir kt.)</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0.2</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0.2</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100</w:t>
            </w:r>
          </w:p>
        </w:tc>
        <w:tc>
          <w:tcPr>
            <w:tcW w:w="2084" w:type="dxa"/>
            <w:tcBorders>
              <w:top w:val="single" w:sz="4" w:space="0" w:color="auto"/>
              <w:left w:val="single" w:sz="4" w:space="0" w:color="auto"/>
              <w:bottom w:val="single" w:sz="4" w:space="0" w:color="auto"/>
              <w:right w:val="single" w:sz="4" w:space="0" w:color="auto"/>
            </w:tcBorders>
            <w:vAlign w:val="center"/>
          </w:tcPr>
          <w:p w:rsidR="009B1FCB" w:rsidRPr="00464128" w:rsidRDefault="009B1FCB" w:rsidP="001C539E"/>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 xml:space="preserve">Iš viso </w:t>
            </w:r>
          </w:p>
        </w:tc>
        <w:tc>
          <w:tcPr>
            <w:tcW w:w="1746"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663.7</w:t>
            </w:r>
          </w:p>
        </w:tc>
        <w:tc>
          <w:tcPr>
            <w:tcW w:w="1774"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634,8</w:t>
            </w:r>
          </w:p>
        </w:tc>
        <w:tc>
          <w:tcPr>
            <w:tcW w:w="1283"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t>96</w:t>
            </w:r>
          </w:p>
        </w:tc>
        <w:tc>
          <w:tcPr>
            <w:tcW w:w="0" w:type="auto"/>
            <w:tcBorders>
              <w:top w:val="single" w:sz="6" w:space="0" w:color="auto"/>
              <w:left w:val="single" w:sz="6" w:space="0" w:color="auto"/>
              <w:bottom w:val="single" w:sz="6" w:space="0" w:color="auto"/>
              <w:right w:val="single" w:sz="6" w:space="0" w:color="auto"/>
            </w:tcBorders>
            <w:vAlign w:val="center"/>
          </w:tcPr>
          <w:p w:rsidR="009B1FCB" w:rsidRPr="00464128" w:rsidRDefault="009B1FCB" w:rsidP="001C539E">
            <w:pPr>
              <w:rPr>
                <w:sz w:val="20"/>
              </w:rPr>
            </w:pPr>
          </w:p>
        </w:tc>
      </w:tr>
      <w:tr w:rsidR="009B1FCB" w:rsidRPr="00464128" w:rsidTr="001C539E">
        <w:tc>
          <w:tcPr>
            <w:tcW w:w="2741" w:type="dxa"/>
            <w:tcBorders>
              <w:top w:val="single" w:sz="4" w:space="0" w:color="auto"/>
              <w:left w:val="single" w:sz="4" w:space="0" w:color="auto"/>
              <w:bottom w:val="single" w:sz="4" w:space="0" w:color="auto"/>
              <w:right w:val="single" w:sz="4" w:space="0" w:color="auto"/>
            </w:tcBorders>
            <w:vAlign w:val="center"/>
            <w:hideMark/>
          </w:tcPr>
          <w:p w:rsidR="009B1FCB" w:rsidRPr="00464128" w:rsidRDefault="009B1FCB" w:rsidP="001C539E">
            <w:r w:rsidRPr="00464128">
              <w:rPr>
                <w:color w:val="000000"/>
              </w:rPr>
              <w:t>Kreditinio įsiskolinimo (pagal visus finansavimo šaltinius) 2023 m. sausio 1 d. nebuvo</w:t>
            </w:r>
          </w:p>
        </w:tc>
        <w:tc>
          <w:tcPr>
            <w:tcW w:w="0" w:type="auto"/>
            <w:tcBorders>
              <w:top w:val="single" w:sz="6" w:space="0" w:color="auto"/>
              <w:left w:val="single" w:sz="6" w:space="0" w:color="auto"/>
              <w:bottom w:val="single" w:sz="6" w:space="0" w:color="auto"/>
              <w:right w:val="single" w:sz="6" w:space="0" w:color="auto"/>
            </w:tcBorders>
            <w:vAlign w:val="center"/>
          </w:tcPr>
          <w:p w:rsidR="009B1FCB" w:rsidRPr="00464128" w:rsidRDefault="009B1FCB" w:rsidP="001C539E">
            <w:pP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rsidR="009B1FCB" w:rsidRPr="00464128" w:rsidRDefault="009B1FCB" w:rsidP="001C539E">
            <w:pP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rsidR="009B1FCB" w:rsidRPr="00464128" w:rsidRDefault="009B1FCB" w:rsidP="001C539E">
            <w:pPr>
              <w:rPr>
                <w:sz w:val="20"/>
              </w:rPr>
            </w:pPr>
          </w:p>
        </w:tc>
        <w:tc>
          <w:tcPr>
            <w:tcW w:w="0" w:type="auto"/>
            <w:tcBorders>
              <w:top w:val="single" w:sz="6" w:space="0" w:color="auto"/>
              <w:left w:val="single" w:sz="6" w:space="0" w:color="auto"/>
              <w:bottom w:val="single" w:sz="6" w:space="0" w:color="auto"/>
              <w:right w:val="single" w:sz="6" w:space="0" w:color="auto"/>
            </w:tcBorders>
            <w:vAlign w:val="center"/>
          </w:tcPr>
          <w:p w:rsidR="009B1FCB" w:rsidRPr="00464128" w:rsidRDefault="009B1FCB" w:rsidP="001C539E">
            <w:pPr>
              <w:rPr>
                <w:sz w:val="20"/>
              </w:rPr>
            </w:pPr>
          </w:p>
        </w:tc>
      </w:tr>
    </w:tbl>
    <w:p w:rsidR="005B20FC" w:rsidRPr="005B20FC" w:rsidRDefault="005B20FC" w:rsidP="005B20FC">
      <w:pPr>
        <w:suppressAutoHyphens/>
        <w:ind w:firstLine="709"/>
        <w:rPr>
          <w:rFonts w:eastAsia="MS Mincho"/>
          <w:color w:val="000000" w:themeColor="text1"/>
          <w:lang w:eastAsia="ar-SA"/>
        </w:rPr>
      </w:pPr>
      <w:r w:rsidRPr="005B20FC">
        <w:rPr>
          <w:rFonts w:eastAsia="MS Mincho"/>
          <w:color w:val="000000" w:themeColor="text1"/>
          <w:lang w:eastAsia="ar-SA"/>
        </w:rPr>
        <w:t xml:space="preserve">2023 m. </w:t>
      </w:r>
      <w:r w:rsidR="009B1FCB">
        <w:rPr>
          <w:rFonts w:eastAsia="MS Mincho"/>
          <w:color w:val="000000" w:themeColor="text1"/>
          <w:lang w:eastAsia="ar-SA"/>
        </w:rPr>
        <w:t>lapkričio 18</w:t>
      </w:r>
      <w:r w:rsidRPr="005B20FC">
        <w:rPr>
          <w:rFonts w:eastAsia="MS Mincho"/>
          <w:color w:val="000000" w:themeColor="text1"/>
          <w:lang w:eastAsia="ar-SA"/>
        </w:rPr>
        <w:t xml:space="preserve"> d. Nacionalinio visuomenės sveikatos centro prie Sveikatos apsaugos</w:t>
      </w:r>
    </w:p>
    <w:p w:rsidR="005B20FC" w:rsidRPr="005B20FC" w:rsidRDefault="005B20FC" w:rsidP="005B20FC">
      <w:pPr>
        <w:suppressAutoHyphens/>
        <w:ind w:firstLine="709"/>
        <w:rPr>
          <w:rFonts w:eastAsia="MS Mincho"/>
          <w:color w:val="000000" w:themeColor="text1"/>
          <w:lang w:eastAsia="ar-SA"/>
        </w:rPr>
      </w:pPr>
      <w:r w:rsidRPr="005B20FC">
        <w:rPr>
          <w:rFonts w:eastAsia="MS Mincho"/>
          <w:color w:val="000000" w:themeColor="text1"/>
          <w:lang w:eastAsia="ar-SA"/>
        </w:rPr>
        <w:t>ministerijos Šiaulių departamento specialistės v</w:t>
      </w:r>
      <w:r>
        <w:rPr>
          <w:rFonts w:eastAsia="MS Mincho"/>
          <w:color w:val="000000" w:themeColor="text1"/>
          <w:lang w:eastAsia="ar-SA"/>
        </w:rPr>
        <w:t xml:space="preserve">ykdė mokykloje </w:t>
      </w:r>
      <w:r w:rsidRPr="005B20FC">
        <w:rPr>
          <w:rFonts w:eastAsia="MS Mincho"/>
          <w:color w:val="000000" w:themeColor="text1"/>
          <w:lang w:eastAsia="ar-SA"/>
        </w:rPr>
        <w:t>patikrinimą. Rasti</w:t>
      </w:r>
    </w:p>
    <w:p w:rsidR="005B20FC" w:rsidRPr="005B20FC" w:rsidRDefault="005B20FC" w:rsidP="005B20FC">
      <w:pPr>
        <w:suppressAutoHyphens/>
        <w:ind w:firstLine="709"/>
        <w:rPr>
          <w:rFonts w:eastAsia="MS Mincho"/>
          <w:color w:val="000000" w:themeColor="text1"/>
          <w:lang w:eastAsia="ar-SA"/>
        </w:rPr>
      </w:pPr>
      <w:r w:rsidRPr="005B20FC">
        <w:rPr>
          <w:rFonts w:eastAsia="MS Mincho"/>
          <w:color w:val="000000" w:themeColor="text1"/>
          <w:lang w:eastAsia="ar-SA"/>
        </w:rPr>
        <w:t>trūkumai</w:t>
      </w:r>
      <w:r w:rsidR="009B1FCB">
        <w:rPr>
          <w:rFonts w:eastAsia="MS Mincho"/>
          <w:color w:val="000000" w:themeColor="text1"/>
          <w:lang w:eastAsia="ar-SA"/>
        </w:rPr>
        <w:t xml:space="preserve"> pagal Lietuvos higienos normos. </w:t>
      </w:r>
      <w:r>
        <w:rPr>
          <w:rFonts w:eastAsia="MS Mincho"/>
          <w:color w:val="000000" w:themeColor="text1"/>
          <w:lang w:eastAsia="ar-SA"/>
        </w:rPr>
        <w:t>Trūkumai pašalinti</w:t>
      </w:r>
      <w:r w:rsidR="009B1FCB">
        <w:rPr>
          <w:rFonts w:eastAsia="MS Mincho"/>
          <w:color w:val="000000" w:themeColor="text1"/>
          <w:lang w:eastAsia="ar-SA"/>
        </w:rPr>
        <w:t>.</w:t>
      </w:r>
    </w:p>
    <w:p w:rsidR="00CD4AB2" w:rsidRDefault="00CD4AB2" w:rsidP="008A4755">
      <w:pPr>
        <w:tabs>
          <w:tab w:val="left" w:pos="567"/>
        </w:tabs>
        <w:ind w:firstLine="709"/>
        <w:jc w:val="both"/>
        <w:rPr>
          <w:b/>
          <w:color w:val="FF0000"/>
        </w:rPr>
      </w:pPr>
    </w:p>
    <w:p w:rsidR="008E7C2B" w:rsidRDefault="008E7C2B" w:rsidP="002C0C23">
      <w:pPr>
        <w:rPr>
          <w:b/>
        </w:rPr>
      </w:pPr>
    </w:p>
    <w:p w:rsidR="008E7C2B" w:rsidRDefault="008E7C2B" w:rsidP="002C0C23">
      <w:pPr>
        <w:rPr>
          <w:b/>
        </w:rPr>
      </w:pPr>
    </w:p>
    <w:p w:rsidR="003E6D03" w:rsidRPr="002C0C23" w:rsidRDefault="003E6D03" w:rsidP="002C0C23">
      <w:bookmarkStart w:id="0" w:name="_GoBack"/>
      <w:bookmarkEnd w:id="0"/>
    </w:p>
    <w:sectPr w:rsidR="003E6D03" w:rsidRPr="002C0C23" w:rsidSect="00A727C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0961"/>
    <w:multiLevelType w:val="hybridMultilevel"/>
    <w:tmpl w:val="D30E44DA"/>
    <w:lvl w:ilvl="0" w:tplc="3D9E3D0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nsid w:val="4CCF6D21"/>
    <w:multiLevelType w:val="hybridMultilevel"/>
    <w:tmpl w:val="B2B09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34A08E4"/>
    <w:multiLevelType w:val="hybridMultilevel"/>
    <w:tmpl w:val="8DC8979C"/>
    <w:lvl w:ilvl="0" w:tplc="E40AFC02">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nsid w:val="765916C2"/>
    <w:multiLevelType w:val="hybridMultilevel"/>
    <w:tmpl w:val="8C923B14"/>
    <w:lvl w:ilvl="0" w:tplc="F7D44976">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23"/>
    <w:rsid w:val="00001566"/>
    <w:rsid w:val="00010FA2"/>
    <w:rsid w:val="00010FC0"/>
    <w:rsid w:val="0001266B"/>
    <w:rsid w:val="00013288"/>
    <w:rsid w:val="00022814"/>
    <w:rsid w:val="00027CF2"/>
    <w:rsid w:val="00027E46"/>
    <w:rsid w:val="00035051"/>
    <w:rsid w:val="000454B3"/>
    <w:rsid w:val="00066F80"/>
    <w:rsid w:val="00070F32"/>
    <w:rsid w:val="00072F2B"/>
    <w:rsid w:val="000741DB"/>
    <w:rsid w:val="00075422"/>
    <w:rsid w:val="000A36F6"/>
    <w:rsid w:val="000B5DDE"/>
    <w:rsid w:val="000D2A50"/>
    <w:rsid w:val="000D7E86"/>
    <w:rsid w:val="000E200C"/>
    <w:rsid w:val="000E5DA4"/>
    <w:rsid w:val="000E7CC2"/>
    <w:rsid w:val="000F1E4B"/>
    <w:rsid w:val="000F6410"/>
    <w:rsid w:val="000F6E62"/>
    <w:rsid w:val="00112543"/>
    <w:rsid w:val="0011266E"/>
    <w:rsid w:val="001129F4"/>
    <w:rsid w:val="00122547"/>
    <w:rsid w:val="001337A6"/>
    <w:rsid w:val="00143BF6"/>
    <w:rsid w:val="00143F68"/>
    <w:rsid w:val="00147B4B"/>
    <w:rsid w:val="00151A49"/>
    <w:rsid w:val="001521C8"/>
    <w:rsid w:val="00167E2D"/>
    <w:rsid w:val="00175B5D"/>
    <w:rsid w:val="001760EF"/>
    <w:rsid w:val="0018133D"/>
    <w:rsid w:val="00183BB5"/>
    <w:rsid w:val="00194EA6"/>
    <w:rsid w:val="001A2709"/>
    <w:rsid w:val="001C631A"/>
    <w:rsid w:val="001D34E0"/>
    <w:rsid w:val="001D5AA0"/>
    <w:rsid w:val="001D63A9"/>
    <w:rsid w:val="001E0113"/>
    <w:rsid w:val="001E071C"/>
    <w:rsid w:val="001E2039"/>
    <w:rsid w:val="001F62AD"/>
    <w:rsid w:val="002014DD"/>
    <w:rsid w:val="0020725B"/>
    <w:rsid w:val="0021146B"/>
    <w:rsid w:val="00214F68"/>
    <w:rsid w:val="002160F3"/>
    <w:rsid w:val="002238C2"/>
    <w:rsid w:val="002246CE"/>
    <w:rsid w:val="00227481"/>
    <w:rsid w:val="00232153"/>
    <w:rsid w:val="0023413F"/>
    <w:rsid w:val="0023587F"/>
    <w:rsid w:val="00247DA9"/>
    <w:rsid w:val="0025097D"/>
    <w:rsid w:val="002557C2"/>
    <w:rsid w:val="00261AE8"/>
    <w:rsid w:val="00270D9C"/>
    <w:rsid w:val="00270FD0"/>
    <w:rsid w:val="0027321C"/>
    <w:rsid w:val="00290105"/>
    <w:rsid w:val="002A18DC"/>
    <w:rsid w:val="002A4965"/>
    <w:rsid w:val="002A6420"/>
    <w:rsid w:val="002B5967"/>
    <w:rsid w:val="002B7467"/>
    <w:rsid w:val="002B7FD0"/>
    <w:rsid w:val="002C0C23"/>
    <w:rsid w:val="002C2B3C"/>
    <w:rsid w:val="002C48F5"/>
    <w:rsid w:val="002C6ED1"/>
    <w:rsid w:val="002D2674"/>
    <w:rsid w:val="002D4A18"/>
    <w:rsid w:val="002D7BBF"/>
    <w:rsid w:val="002E17F9"/>
    <w:rsid w:val="002E33B8"/>
    <w:rsid w:val="002E4F1F"/>
    <w:rsid w:val="003073A0"/>
    <w:rsid w:val="003136A1"/>
    <w:rsid w:val="00315DDA"/>
    <w:rsid w:val="003224A5"/>
    <w:rsid w:val="00323F2C"/>
    <w:rsid w:val="00324C24"/>
    <w:rsid w:val="00327088"/>
    <w:rsid w:val="003356EA"/>
    <w:rsid w:val="00337F2F"/>
    <w:rsid w:val="00341AD2"/>
    <w:rsid w:val="0035158E"/>
    <w:rsid w:val="00352A66"/>
    <w:rsid w:val="00356D8A"/>
    <w:rsid w:val="0035705B"/>
    <w:rsid w:val="00365176"/>
    <w:rsid w:val="00365CAB"/>
    <w:rsid w:val="00377DAA"/>
    <w:rsid w:val="0038345F"/>
    <w:rsid w:val="00387855"/>
    <w:rsid w:val="00396BD2"/>
    <w:rsid w:val="0039740D"/>
    <w:rsid w:val="003A16E7"/>
    <w:rsid w:val="003A7593"/>
    <w:rsid w:val="003B491B"/>
    <w:rsid w:val="003C1A2E"/>
    <w:rsid w:val="003C244A"/>
    <w:rsid w:val="003D6C94"/>
    <w:rsid w:val="003E559D"/>
    <w:rsid w:val="003E6D03"/>
    <w:rsid w:val="003E6DAD"/>
    <w:rsid w:val="003F5720"/>
    <w:rsid w:val="004073AF"/>
    <w:rsid w:val="00407EC7"/>
    <w:rsid w:val="004103C7"/>
    <w:rsid w:val="004150A8"/>
    <w:rsid w:val="00421C21"/>
    <w:rsid w:val="00435286"/>
    <w:rsid w:val="00435D60"/>
    <w:rsid w:val="004443DA"/>
    <w:rsid w:val="00444EA5"/>
    <w:rsid w:val="00447C7A"/>
    <w:rsid w:val="00454F0E"/>
    <w:rsid w:val="00457DF0"/>
    <w:rsid w:val="00471D35"/>
    <w:rsid w:val="00472577"/>
    <w:rsid w:val="00473C8A"/>
    <w:rsid w:val="00475605"/>
    <w:rsid w:val="004762A4"/>
    <w:rsid w:val="00485ACF"/>
    <w:rsid w:val="00487549"/>
    <w:rsid w:val="00492FDE"/>
    <w:rsid w:val="004A2FFF"/>
    <w:rsid w:val="004B1BB8"/>
    <w:rsid w:val="004B41AE"/>
    <w:rsid w:val="004B4938"/>
    <w:rsid w:val="004B4AFC"/>
    <w:rsid w:val="004B7D43"/>
    <w:rsid w:val="004C30C9"/>
    <w:rsid w:val="004C4FD3"/>
    <w:rsid w:val="004C7B8C"/>
    <w:rsid w:val="004D0128"/>
    <w:rsid w:val="004D28B8"/>
    <w:rsid w:val="004D4EE6"/>
    <w:rsid w:val="004D6A71"/>
    <w:rsid w:val="004E1AEB"/>
    <w:rsid w:val="004F261A"/>
    <w:rsid w:val="00501055"/>
    <w:rsid w:val="00526AB0"/>
    <w:rsid w:val="00530CA6"/>
    <w:rsid w:val="00537284"/>
    <w:rsid w:val="0054524F"/>
    <w:rsid w:val="00551F71"/>
    <w:rsid w:val="00552C77"/>
    <w:rsid w:val="0055533A"/>
    <w:rsid w:val="00560C7F"/>
    <w:rsid w:val="00566812"/>
    <w:rsid w:val="00583659"/>
    <w:rsid w:val="005872F1"/>
    <w:rsid w:val="005909D9"/>
    <w:rsid w:val="00594957"/>
    <w:rsid w:val="00597670"/>
    <w:rsid w:val="005A3830"/>
    <w:rsid w:val="005B20FC"/>
    <w:rsid w:val="005B3AF2"/>
    <w:rsid w:val="005B4061"/>
    <w:rsid w:val="005C6D7C"/>
    <w:rsid w:val="005C79E6"/>
    <w:rsid w:val="005D3260"/>
    <w:rsid w:val="005D498C"/>
    <w:rsid w:val="005E0547"/>
    <w:rsid w:val="005E0B9C"/>
    <w:rsid w:val="005E0F18"/>
    <w:rsid w:val="005E175E"/>
    <w:rsid w:val="005F7742"/>
    <w:rsid w:val="005F7CAC"/>
    <w:rsid w:val="00607773"/>
    <w:rsid w:val="006104A6"/>
    <w:rsid w:val="00612868"/>
    <w:rsid w:val="0063401F"/>
    <w:rsid w:val="006346CD"/>
    <w:rsid w:val="00641444"/>
    <w:rsid w:val="00643245"/>
    <w:rsid w:val="006461E5"/>
    <w:rsid w:val="00652657"/>
    <w:rsid w:val="006544CD"/>
    <w:rsid w:val="00660545"/>
    <w:rsid w:val="00673520"/>
    <w:rsid w:val="0067510F"/>
    <w:rsid w:val="00680311"/>
    <w:rsid w:val="0068245E"/>
    <w:rsid w:val="006873A9"/>
    <w:rsid w:val="00691331"/>
    <w:rsid w:val="006945B3"/>
    <w:rsid w:val="006A1C64"/>
    <w:rsid w:val="006A329B"/>
    <w:rsid w:val="006B4D05"/>
    <w:rsid w:val="006B740C"/>
    <w:rsid w:val="006C00E0"/>
    <w:rsid w:val="006C0F29"/>
    <w:rsid w:val="006C13EE"/>
    <w:rsid w:val="006C31A4"/>
    <w:rsid w:val="006C5631"/>
    <w:rsid w:val="006F2508"/>
    <w:rsid w:val="006F4086"/>
    <w:rsid w:val="006F67C8"/>
    <w:rsid w:val="006F6DEB"/>
    <w:rsid w:val="006F777A"/>
    <w:rsid w:val="0070485C"/>
    <w:rsid w:val="00706CFA"/>
    <w:rsid w:val="00707668"/>
    <w:rsid w:val="00714EBE"/>
    <w:rsid w:val="007220E3"/>
    <w:rsid w:val="00726D67"/>
    <w:rsid w:val="007276E6"/>
    <w:rsid w:val="00741505"/>
    <w:rsid w:val="00745749"/>
    <w:rsid w:val="00745C91"/>
    <w:rsid w:val="00750283"/>
    <w:rsid w:val="00761131"/>
    <w:rsid w:val="00763B9C"/>
    <w:rsid w:val="00764996"/>
    <w:rsid w:val="00764F60"/>
    <w:rsid w:val="00780958"/>
    <w:rsid w:val="0078468D"/>
    <w:rsid w:val="00787455"/>
    <w:rsid w:val="007945F6"/>
    <w:rsid w:val="00795807"/>
    <w:rsid w:val="007A19CE"/>
    <w:rsid w:val="007A1DA4"/>
    <w:rsid w:val="007A2F72"/>
    <w:rsid w:val="007A3AFB"/>
    <w:rsid w:val="007A405D"/>
    <w:rsid w:val="007B1D94"/>
    <w:rsid w:val="007B3689"/>
    <w:rsid w:val="007B691B"/>
    <w:rsid w:val="007D0B3E"/>
    <w:rsid w:val="007D13AF"/>
    <w:rsid w:val="007E57C2"/>
    <w:rsid w:val="007E5A7C"/>
    <w:rsid w:val="007E6024"/>
    <w:rsid w:val="007F06A9"/>
    <w:rsid w:val="007F0CCF"/>
    <w:rsid w:val="007F19D0"/>
    <w:rsid w:val="007F73BB"/>
    <w:rsid w:val="008056D3"/>
    <w:rsid w:val="0082001C"/>
    <w:rsid w:val="00831A20"/>
    <w:rsid w:val="00835C46"/>
    <w:rsid w:val="00865802"/>
    <w:rsid w:val="00871C8E"/>
    <w:rsid w:val="008821D0"/>
    <w:rsid w:val="0089088B"/>
    <w:rsid w:val="00890F1F"/>
    <w:rsid w:val="008929C1"/>
    <w:rsid w:val="008A4755"/>
    <w:rsid w:val="008B2239"/>
    <w:rsid w:val="008B299D"/>
    <w:rsid w:val="008B547C"/>
    <w:rsid w:val="008C0E17"/>
    <w:rsid w:val="008C503B"/>
    <w:rsid w:val="008D2A82"/>
    <w:rsid w:val="008D37CD"/>
    <w:rsid w:val="008E47B0"/>
    <w:rsid w:val="008E7C2B"/>
    <w:rsid w:val="008F0606"/>
    <w:rsid w:val="008F4BEF"/>
    <w:rsid w:val="008F4BF3"/>
    <w:rsid w:val="00905DF2"/>
    <w:rsid w:val="0090743D"/>
    <w:rsid w:val="00912C73"/>
    <w:rsid w:val="0091750B"/>
    <w:rsid w:val="009306EE"/>
    <w:rsid w:val="0093530F"/>
    <w:rsid w:val="009401C0"/>
    <w:rsid w:val="00942F47"/>
    <w:rsid w:val="009432DE"/>
    <w:rsid w:val="0094359C"/>
    <w:rsid w:val="009514C2"/>
    <w:rsid w:val="00955847"/>
    <w:rsid w:val="009624EC"/>
    <w:rsid w:val="00963DE7"/>
    <w:rsid w:val="00975923"/>
    <w:rsid w:val="00976B86"/>
    <w:rsid w:val="00994BD8"/>
    <w:rsid w:val="0099576C"/>
    <w:rsid w:val="00996868"/>
    <w:rsid w:val="009A3228"/>
    <w:rsid w:val="009A4ABC"/>
    <w:rsid w:val="009B1FCB"/>
    <w:rsid w:val="009B2185"/>
    <w:rsid w:val="009C557B"/>
    <w:rsid w:val="009D28C5"/>
    <w:rsid w:val="009D62B5"/>
    <w:rsid w:val="009E07DF"/>
    <w:rsid w:val="009E1FB8"/>
    <w:rsid w:val="009E6D84"/>
    <w:rsid w:val="009F04D9"/>
    <w:rsid w:val="00A013E8"/>
    <w:rsid w:val="00A022C6"/>
    <w:rsid w:val="00A024F2"/>
    <w:rsid w:val="00A05100"/>
    <w:rsid w:val="00A125EC"/>
    <w:rsid w:val="00A14766"/>
    <w:rsid w:val="00A22F19"/>
    <w:rsid w:val="00A3177D"/>
    <w:rsid w:val="00A3279D"/>
    <w:rsid w:val="00A4476F"/>
    <w:rsid w:val="00A55408"/>
    <w:rsid w:val="00A62312"/>
    <w:rsid w:val="00A642EC"/>
    <w:rsid w:val="00A67BC0"/>
    <w:rsid w:val="00A727CA"/>
    <w:rsid w:val="00A80BE7"/>
    <w:rsid w:val="00A81BB6"/>
    <w:rsid w:val="00A81F07"/>
    <w:rsid w:val="00A841C5"/>
    <w:rsid w:val="00A8502A"/>
    <w:rsid w:val="00A86723"/>
    <w:rsid w:val="00A952B6"/>
    <w:rsid w:val="00AA2AF1"/>
    <w:rsid w:val="00AB1138"/>
    <w:rsid w:val="00AB19C3"/>
    <w:rsid w:val="00AB667B"/>
    <w:rsid w:val="00AC563C"/>
    <w:rsid w:val="00AC62AA"/>
    <w:rsid w:val="00AD0CE2"/>
    <w:rsid w:val="00AD4B03"/>
    <w:rsid w:val="00AD4F26"/>
    <w:rsid w:val="00AE046A"/>
    <w:rsid w:val="00AE0560"/>
    <w:rsid w:val="00AE1BC6"/>
    <w:rsid w:val="00AE40A9"/>
    <w:rsid w:val="00AE60FF"/>
    <w:rsid w:val="00AF0358"/>
    <w:rsid w:val="00AF6F97"/>
    <w:rsid w:val="00B0465F"/>
    <w:rsid w:val="00B07876"/>
    <w:rsid w:val="00B1177A"/>
    <w:rsid w:val="00B21461"/>
    <w:rsid w:val="00B21574"/>
    <w:rsid w:val="00B23973"/>
    <w:rsid w:val="00B47322"/>
    <w:rsid w:val="00B50982"/>
    <w:rsid w:val="00B5342C"/>
    <w:rsid w:val="00B57521"/>
    <w:rsid w:val="00B63A11"/>
    <w:rsid w:val="00B66246"/>
    <w:rsid w:val="00B71763"/>
    <w:rsid w:val="00B7651C"/>
    <w:rsid w:val="00B82300"/>
    <w:rsid w:val="00B84188"/>
    <w:rsid w:val="00B84EC9"/>
    <w:rsid w:val="00B910A0"/>
    <w:rsid w:val="00B973F9"/>
    <w:rsid w:val="00BA6FA9"/>
    <w:rsid w:val="00BA788A"/>
    <w:rsid w:val="00BB1051"/>
    <w:rsid w:val="00BB3052"/>
    <w:rsid w:val="00BB7C47"/>
    <w:rsid w:val="00BC0E1B"/>
    <w:rsid w:val="00BC3587"/>
    <w:rsid w:val="00BC4AEF"/>
    <w:rsid w:val="00BC605F"/>
    <w:rsid w:val="00BD187C"/>
    <w:rsid w:val="00BD77F8"/>
    <w:rsid w:val="00BE7EF5"/>
    <w:rsid w:val="00BE7F30"/>
    <w:rsid w:val="00C02EEF"/>
    <w:rsid w:val="00C031DF"/>
    <w:rsid w:val="00C10299"/>
    <w:rsid w:val="00C14073"/>
    <w:rsid w:val="00C14454"/>
    <w:rsid w:val="00C20253"/>
    <w:rsid w:val="00C249A9"/>
    <w:rsid w:val="00C3091D"/>
    <w:rsid w:val="00C30A76"/>
    <w:rsid w:val="00C53EAF"/>
    <w:rsid w:val="00C57080"/>
    <w:rsid w:val="00C61F86"/>
    <w:rsid w:val="00C65BE6"/>
    <w:rsid w:val="00C65C30"/>
    <w:rsid w:val="00C66809"/>
    <w:rsid w:val="00C70FB0"/>
    <w:rsid w:val="00C763C8"/>
    <w:rsid w:val="00C87A71"/>
    <w:rsid w:val="00C95ED0"/>
    <w:rsid w:val="00C96804"/>
    <w:rsid w:val="00CA46E8"/>
    <w:rsid w:val="00CB04A4"/>
    <w:rsid w:val="00CB16D1"/>
    <w:rsid w:val="00CB6F04"/>
    <w:rsid w:val="00CC0352"/>
    <w:rsid w:val="00CD1E37"/>
    <w:rsid w:val="00CD4AB2"/>
    <w:rsid w:val="00CD5052"/>
    <w:rsid w:val="00CE36F6"/>
    <w:rsid w:val="00CF369C"/>
    <w:rsid w:val="00CF59C2"/>
    <w:rsid w:val="00D24022"/>
    <w:rsid w:val="00D27AAF"/>
    <w:rsid w:val="00D27E1E"/>
    <w:rsid w:val="00D32DD6"/>
    <w:rsid w:val="00D40FAA"/>
    <w:rsid w:val="00D44782"/>
    <w:rsid w:val="00D45156"/>
    <w:rsid w:val="00D46080"/>
    <w:rsid w:val="00D55C61"/>
    <w:rsid w:val="00D55DB4"/>
    <w:rsid w:val="00D56F8E"/>
    <w:rsid w:val="00D61A25"/>
    <w:rsid w:val="00D64EA6"/>
    <w:rsid w:val="00D7275F"/>
    <w:rsid w:val="00D739EB"/>
    <w:rsid w:val="00D75B88"/>
    <w:rsid w:val="00D84ABF"/>
    <w:rsid w:val="00D927DF"/>
    <w:rsid w:val="00D96A86"/>
    <w:rsid w:val="00DA6D3B"/>
    <w:rsid w:val="00DB02B6"/>
    <w:rsid w:val="00DB15B7"/>
    <w:rsid w:val="00DC527A"/>
    <w:rsid w:val="00DC5840"/>
    <w:rsid w:val="00DD2B70"/>
    <w:rsid w:val="00DD6858"/>
    <w:rsid w:val="00DE3F4C"/>
    <w:rsid w:val="00DE4B37"/>
    <w:rsid w:val="00DE5188"/>
    <w:rsid w:val="00DE7759"/>
    <w:rsid w:val="00DF16BD"/>
    <w:rsid w:val="00DF3544"/>
    <w:rsid w:val="00DF5DE5"/>
    <w:rsid w:val="00DF6B50"/>
    <w:rsid w:val="00E23C6E"/>
    <w:rsid w:val="00E271E0"/>
    <w:rsid w:val="00E33AFC"/>
    <w:rsid w:val="00E35CAB"/>
    <w:rsid w:val="00E37378"/>
    <w:rsid w:val="00E46C0E"/>
    <w:rsid w:val="00E51565"/>
    <w:rsid w:val="00E54AF2"/>
    <w:rsid w:val="00E55FA6"/>
    <w:rsid w:val="00E621D0"/>
    <w:rsid w:val="00E64EC8"/>
    <w:rsid w:val="00E662F3"/>
    <w:rsid w:val="00E72753"/>
    <w:rsid w:val="00E72C0B"/>
    <w:rsid w:val="00E763B4"/>
    <w:rsid w:val="00E904EB"/>
    <w:rsid w:val="00E931C1"/>
    <w:rsid w:val="00EA42B9"/>
    <w:rsid w:val="00EA5341"/>
    <w:rsid w:val="00EC5655"/>
    <w:rsid w:val="00ED1882"/>
    <w:rsid w:val="00EE025D"/>
    <w:rsid w:val="00EE1605"/>
    <w:rsid w:val="00EE4656"/>
    <w:rsid w:val="00EF277A"/>
    <w:rsid w:val="00EF463C"/>
    <w:rsid w:val="00EF64E2"/>
    <w:rsid w:val="00F0060F"/>
    <w:rsid w:val="00F1642F"/>
    <w:rsid w:val="00F20403"/>
    <w:rsid w:val="00F25D5B"/>
    <w:rsid w:val="00F31A25"/>
    <w:rsid w:val="00F328A6"/>
    <w:rsid w:val="00F40C8D"/>
    <w:rsid w:val="00F6741B"/>
    <w:rsid w:val="00F67F27"/>
    <w:rsid w:val="00F74346"/>
    <w:rsid w:val="00F766CB"/>
    <w:rsid w:val="00F77175"/>
    <w:rsid w:val="00F80CAB"/>
    <w:rsid w:val="00F840FB"/>
    <w:rsid w:val="00FA1317"/>
    <w:rsid w:val="00FA34B0"/>
    <w:rsid w:val="00FA5882"/>
    <w:rsid w:val="00FC2147"/>
    <w:rsid w:val="00FC6A36"/>
    <w:rsid w:val="00FD2A9A"/>
    <w:rsid w:val="00FD4BA2"/>
    <w:rsid w:val="00FD4BFE"/>
    <w:rsid w:val="00FF1EBF"/>
    <w:rsid w:val="00FF2A27"/>
    <w:rsid w:val="00FF348A"/>
    <w:rsid w:val="00FF409E"/>
    <w:rsid w:val="00FF5C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7">
    <w:name w:val="heading 7"/>
    <w:basedOn w:val="prastasis"/>
    <w:next w:val="prastasis"/>
    <w:link w:val="Antrat7Diagrama"/>
    <w:qFormat/>
    <w:rsid w:val="00A024F2"/>
    <w:pPr>
      <w:suppressAutoHyphens/>
      <w:spacing w:before="240" w:after="60"/>
      <w:jc w:val="both"/>
      <w:outlineLvl w:val="6"/>
    </w:pPr>
    <w:rPr>
      <w:rFonts w:eastAsia="MS Mincho"/>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C0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F0358"/>
    <w:rPr>
      <w:rFonts w:ascii="Tahoma" w:hAnsi="Tahoma" w:cs="Tahoma"/>
      <w:sz w:val="16"/>
      <w:szCs w:val="16"/>
    </w:rPr>
  </w:style>
  <w:style w:type="paragraph" w:styleId="Sraopastraipa">
    <w:name w:val="List Paragraph"/>
    <w:basedOn w:val="prastasis"/>
    <w:uiPriority w:val="34"/>
    <w:qFormat/>
    <w:rsid w:val="008E7C2B"/>
    <w:pPr>
      <w:spacing w:after="200" w:line="276" w:lineRule="auto"/>
      <w:ind w:left="720"/>
      <w:contextualSpacing/>
    </w:pPr>
    <w:rPr>
      <w:rFonts w:ascii="Calibri" w:eastAsia="Calibri" w:hAnsi="Calibri"/>
      <w:sz w:val="22"/>
      <w:szCs w:val="22"/>
      <w:lang w:eastAsia="en-US"/>
    </w:rPr>
  </w:style>
  <w:style w:type="character" w:styleId="Hipersaitas">
    <w:name w:val="Hyperlink"/>
    <w:rsid w:val="00594957"/>
    <w:rPr>
      <w:color w:val="0000FF"/>
      <w:u w:val="single"/>
    </w:rPr>
  </w:style>
  <w:style w:type="character" w:customStyle="1" w:styleId="Antrat7Diagrama">
    <w:name w:val="Antraštė 7 Diagrama"/>
    <w:basedOn w:val="Numatytasispastraiposriftas"/>
    <w:link w:val="Antrat7"/>
    <w:rsid w:val="00A024F2"/>
    <w:rPr>
      <w:rFonts w:eastAsia="MS Mincho"/>
      <w:sz w:val="24"/>
      <w:szCs w:val="24"/>
      <w:lang w:val="en-US" w:eastAsia="ar-SA"/>
    </w:rPr>
  </w:style>
  <w:style w:type="character" w:styleId="Vietosrezervavimoenklotekstas">
    <w:name w:val="Placeholder Text"/>
    <w:basedOn w:val="Numatytasispastraiposriftas"/>
    <w:rsid w:val="00A024F2"/>
    <w:rPr>
      <w:color w:val="808080"/>
    </w:rPr>
  </w:style>
  <w:style w:type="paragraph" w:customStyle="1" w:styleId="ListParagraph1">
    <w:name w:val="List Paragraph1"/>
    <w:basedOn w:val="prastasis"/>
    <w:qFormat/>
    <w:rsid w:val="00750283"/>
    <w:pPr>
      <w:ind w:left="720" w:firstLine="284"/>
      <w:contextualSpacing/>
      <w:jc w:val="both"/>
    </w:pPr>
    <w:rPr>
      <w:rFonts w:eastAsia="MS Mincho"/>
      <w:szCs w:val="22"/>
    </w:rPr>
  </w:style>
  <w:style w:type="paragraph" w:styleId="Betarp">
    <w:name w:val="No Spacing"/>
    <w:uiPriority w:val="1"/>
    <w:qFormat/>
    <w:rsid w:val="00AB1138"/>
    <w:rPr>
      <w:rFonts w:eastAsiaTheme="minorHAnsi" w:cstheme="minorBidi"/>
      <w:sz w:val="24"/>
      <w:szCs w:val="22"/>
      <w:lang w:eastAsia="en-US"/>
    </w:rPr>
  </w:style>
  <w:style w:type="character" w:styleId="Grietas">
    <w:name w:val="Strong"/>
    <w:basedOn w:val="Numatytasispastraiposriftas"/>
    <w:qFormat/>
    <w:rsid w:val="004B7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7">
    <w:name w:val="heading 7"/>
    <w:basedOn w:val="prastasis"/>
    <w:next w:val="prastasis"/>
    <w:link w:val="Antrat7Diagrama"/>
    <w:qFormat/>
    <w:rsid w:val="00A024F2"/>
    <w:pPr>
      <w:suppressAutoHyphens/>
      <w:spacing w:before="240" w:after="60"/>
      <w:jc w:val="both"/>
      <w:outlineLvl w:val="6"/>
    </w:pPr>
    <w:rPr>
      <w:rFonts w:eastAsia="MS Mincho"/>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C0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F0358"/>
    <w:rPr>
      <w:rFonts w:ascii="Tahoma" w:hAnsi="Tahoma" w:cs="Tahoma"/>
      <w:sz w:val="16"/>
      <w:szCs w:val="16"/>
    </w:rPr>
  </w:style>
  <w:style w:type="paragraph" w:styleId="Sraopastraipa">
    <w:name w:val="List Paragraph"/>
    <w:basedOn w:val="prastasis"/>
    <w:uiPriority w:val="34"/>
    <w:qFormat/>
    <w:rsid w:val="008E7C2B"/>
    <w:pPr>
      <w:spacing w:after="200" w:line="276" w:lineRule="auto"/>
      <w:ind w:left="720"/>
      <w:contextualSpacing/>
    </w:pPr>
    <w:rPr>
      <w:rFonts w:ascii="Calibri" w:eastAsia="Calibri" w:hAnsi="Calibri"/>
      <w:sz w:val="22"/>
      <w:szCs w:val="22"/>
      <w:lang w:eastAsia="en-US"/>
    </w:rPr>
  </w:style>
  <w:style w:type="character" w:styleId="Hipersaitas">
    <w:name w:val="Hyperlink"/>
    <w:rsid w:val="00594957"/>
    <w:rPr>
      <w:color w:val="0000FF"/>
      <w:u w:val="single"/>
    </w:rPr>
  </w:style>
  <w:style w:type="character" w:customStyle="1" w:styleId="Antrat7Diagrama">
    <w:name w:val="Antraštė 7 Diagrama"/>
    <w:basedOn w:val="Numatytasispastraiposriftas"/>
    <w:link w:val="Antrat7"/>
    <w:rsid w:val="00A024F2"/>
    <w:rPr>
      <w:rFonts w:eastAsia="MS Mincho"/>
      <w:sz w:val="24"/>
      <w:szCs w:val="24"/>
      <w:lang w:val="en-US" w:eastAsia="ar-SA"/>
    </w:rPr>
  </w:style>
  <w:style w:type="character" w:styleId="Vietosrezervavimoenklotekstas">
    <w:name w:val="Placeholder Text"/>
    <w:basedOn w:val="Numatytasispastraiposriftas"/>
    <w:rsid w:val="00A024F2"/>
    <w:rPr>
      <w:color w:val="808080"/>
    </w:rPr>
  </w:style>
  <w:style w:type="paragraph" w:customStyle="1" w:styleId="ListParagraph1">
    <w:name w:val="List Paragraph1"/>
    <w:basedOn w:val="prastasis"/>
    <w:qFormat/>
    <w:rsid w:val="00750283"/>
    <w:pPr>
      <w:ind w:left="720" w:firstLine="284"/>
      <w:contextualSpacing/>
      <w:jc w:val="both"/>
    </w:pPr>
    <w:rPr>
      <w:rFonts w:eastAsia="MS Mincho"/>
      <w:szCs w:val="22"/>
    </w:rPr>
  </w:style>
  <w:style w:type="paragraph" w:styleId="Betarp">
    <w:name w:val="No Spacing"/>
    <w:uiPriority w:val="1"/>
    <w:qFormat/>
    <w:rsid w:val="00AB1138"/>
    <w:rPr>
      <w:rFonts w:eastAsiaTheme="minorHAnsi" w:cstheme="minorBidi"/>
      <w:sz w:val="24"/>
      <w:szCs w:val="22"/>
      <w:lang w:eastAsia="en-US"/>
    </w:rPr>
  </w:style>
  <w:style w:type="character" w:styleId="Grietas">
    <w:name w:val="Strong"/>
    <w:basedOn w:val="Numatytasispastraiposriftas"/>
    <w:qFormat/>
    <w:rsid w:val="004B7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784">
      <w:bodyDiv w:val="1"/>
      <w:marLeft w:val="0"/>
      <w:marRight w:val="0"/>
      <w:marTop w:val="0"/>
      <w:marBottom w:val="0"/>
      <w:divBdr>
        <w:top w:val="none" w:sz="0" w:space="0" w:color="auto"/>
        <w:left w:val="none" w:sz="0" w:space="0" w:color="auto"/>
        <w:bottom w:val="none" w:sz="0" w:space="0" w:color="auto"/>
        <w:right w:val="none" w:sz="0" w:space="0" w:color="auto"/>
      </w:divBdr>
    </w:div>
    <w:div w:id="472792983">
      <w:bodyDiv w:val="1"/>
      <w:marLeft w:val="0"/>
      <w:marRight w:val="0"/>
      <w:marTop w:val="0"/>
      <w:marBottom w:val="0"/>
      <w:divBdr>
        <w:top w:val="none" w:sz="0" w:space="0" w:color="auto"/>
        <w:left w:val="none" w:sz="0" w:space="0" w:color="auto"/>
        <w:bottom w:val="none" w:sz="0" w:space="0" w:color="auto"/>
        <w:right w:val="none" w:sz="0" w:space="0" w:color="auto"/>
      </w:divBdr>
    </w:div>
    <w:div w:id="508713319">
      <w:bodyDiv w:val="1"/>
      <w:marLeft w:val="0"/>
      <w:marRight w:val="0"/>
      <w:marTop w:val="0"/>
      <w:marBottom w:val="0"/>
      <w:divBdr>
        <w:top w:val="none" w:sz="0" w:space="0" w:color="auto"/>
        <w:left w:val="none" w:sz="0" w:space="0" w:color="auto"/>
        <w:bottom w:val="none" w:sz="0" w:space="0" w:color="auto"/>
        <w:right w:val="none" w:sz="0" w:space="0" w:color="auto"/>
      </w:divBdr>
    </w:div>
    <w:div w:id="617570142">
      <w:bodyDiv w:val="1"/>
      <w:marLeft w:val="0"/>
      <w:marRight w:val="0"/>
      <w:marTop w:val="0"/>
      <w:marBottom w:val="0"/>
      <w:divBdr>
        <w:top w:val="none" w:sz="0" w:space="0" w:color="auto"/>
        <w:left w:val="none" w:sz="0" w:space="0" w:color="auto"/>
        <w:bottom w:val="none" w:sz="0" w:space="0" w:color="auto"/>
        <w:right w:val="none" w:sz="0" w:space="0" w:color="auto"/>
      </w:divBdr>
    </w:div>
    <w:div w:id="698823645">
      <w:bodyDiv w:val="1"/>
      <w:marLeft w:val="0"/>
      <w:marRight w:val="0"/>
      <w:marTop w:val="0"/>
      <w:marBottom w:val="0"/>
      <w:divBdr>
        <w:top w:val="none" w:sz="0" w:space="0" w:color="auto"/>
        <w:left w:val="none" w:sz="0" w:space="0" w:color="auto"/>
        <w:bottom w:val="none" w:sz="0" w:space="0" w:color="auto"/>
        <w:right w:val="none" w:sz="0" w:space="0" w:color="auto"/>
      </w:divBdr>
    </w:div>
    <w:div w:id="715395937">
      <w:bodyDiv w:val="1"/>
      <w:marLeft w:val="0"/>
      <w:marRight w:val="0"/>
      <w:marTop w:val="0"/>
      <w:marBottom w:val="0"/>
      <w:divBdr>
        <w:top w:val="none" w:sz="0" w:space="0" w:color="auto"/>
        <w:left w:val="none" w:sz="0" w:space="0" w:color="auto"/>
        <w:bottom w:val="none" w:sz="0" w:space="0" w:color="auto"/>
        <w:right w:val="none" w:sz="0" w:space="0" w:color="auto"/>
      </w:divBdr>
    </w:div>
    <w:div w:id="1090853882">
      <w:bodyDiv w:val="1"/>
      <w:marLeft w:val="0"/>
      <w:marRight w:val="0"/>
      <w:marTop w:val="0"/>
      <w:marBottom w:val="0"/>
      <w:divBdr>
        <w:top w:val="none" w:sz="0" w:space="0" w:color="auto"/>
        <w:left w:val="none" w:sz="0" w:space="0" w:color="auto"/>
        <w:bottom w:val="none" w:sz="0" w:space="0" w:color="auto"/>
        <w:right w:val="none" w:sz="0" w:space="0" w:color="auto"/>
      </w:divBdr>
    </w:div>
    <w:div w:id="1468890997">
      <w:bodyDiv w:val="1"/>
      <w:marLeft w:val="0"/>
      <w:marRight w:val="0"/>
      <w:marTop w:val="0"/>
      <w:marBottom w:val="0"/>
      <w:divBdr>
        <w:top w:val="none" w:sz="0" w:space="0" w:color="auto"/>
        <w:left w:val="none" w:sz="0" w:space="0" w:color="auto"/>
        <w:bottom w:val="none" w:sz="0" w:space="0" w:color="auto"/>
        <w:right w:val="none" w:sz="0" w:space="0" w:color="auto"/>
      </w:divBdr>
    </w:div>
    <w:div w:id="1701777650">
      <w:bodyDiv w:val="1"/>
      <w:marLeft w:val="0"/>
      <w:marRight w:val="0"/>
      <w:marTop w:val="0"/>
      <w:marBottom w:val="0"/>
      <w:divBdr>
        <w:top w:val="none" w:sz="0" w:space="0" w:color="auto"/>
        <w:left w:val="none" w:sz="0" w:space="0" w:color="auto"/>
        <w:bottom w:val="none" w:sz="0" w:space="0" w:color="auto"/>
        <w:right w:val="none" w:sz="0" w:space="0" w:color="auto"/>
      </w:divBdr>
    </w:div>
    <w:div w:id="1869829426">
      <w:bodyDiv w:val="1"/>
      <w:marLeft w:val="0"/>
      <w:marRight w:val="0"/>
      <w:marTop w:val="0"/>
      <w:marBottom w:val="0"/>
      <w:divBdr>
        <w:top w:val="none" w:sz="0" w:space="0" w:color="auto"/>
        <w:left w:val="none" w:sz="0" w:space="0" w:color="auto"/>
        <w:bottom w:val="none" w:sz="0" w:space="0" w:color="auto"/>
        <w:right w:val="none" w:sz="0" w:space="0" w:color="auto"/>
      </w:divBdr>
    </w:div>
    <w:div w:id="1876190305">
      <w:bodyDiv w:val="1"/>
      <w:marLeft w:val="0"/>
      <w:marRight w:val="0"/>
      <w:marTop w:val="0"/>
      <w:marBottom w:val="0"/>
      <w:divBdr>
        <w:top w:val="none" w:sz="0" w:space="0" w:color="auto"/>
        <w:left w:val="none" w:sz="0" w:space="0" w:color="auto"/>
        <w:bottom w:val="none" w:sz="0" w:space="0" w:color="auto"/>
        <w:right w:val="none" w:sz="0" w:space="0" w:color="auto"/>
      </w:divBdr>
    </w:div>
    <w:div w:id="1938707483">
      <w:bodyDiv w:val="1"/>
      <w:marLeft w:val="0"/>
      <w:marRight w:val="0"/>
      <w:marTop w:val="0"/>
      <w:marBottom w:val="0"/>
      <w:divBdr>
        <w:top w:val="none" w:sz="0" w:space="0" w:color="auto"/>
        <w:left w:val="none" w:sz="0" w:space="0" w:color="auto"/>
        <w:bottom w:val="none" w:sz="0" w:space="0" w:color="auto"/>
        <w:right w:val="none" w:sz="0" w:space="0" w:color="auto"/>
      </w:divBdr>
    </w:div>
    <w:div w:id="21252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5749-EFF0-4180-9802-8199EF34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4343</Words>
  <Characters>2477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6807</CharactersWithSpaces>
  <SharedDoc>false</SharedDoc>
  <HLinks>
    <vt:vector size="6" baseType="variant">
      <vt:variant>
        <vt:i4>1048661</vt:i4>
      </vt:variant>
      <vt:variant>
        <vt:i4>0</vt:i4>
      </vt:variant>
      <vt:variant>
        <vt:i4>0</vt:i4>
      </vt:variant>
      <vt:variant>
        <vt:i4>5</vt:i4>
      </vt:variant>
      <vt:variant>
        <vt:lpwstr>http://www.pociuneliai.radviliskis.lm.lt/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Sekretore</cp:lastModifiedBy>
  <cp:revision>2</cp:revision>
  <cp:lastPrinted>2020-12-29T13:03:00Z</cp:lastPrinted>
  <dcterms:created xsi:type="dcterms:W3CDTF">2024-02-06T10:07:00Z</dcterms:created>
  <dcterms:modified xsi:type="dcterms:W3CDTF">2024-02-06T10:07:00Z</dcterms:modified>
</cp:coreProperties>
</file>